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02CEA" w:rsidRDefault="000C1523">
      <w:pPr>
        <w:rPr>
          <w:b/>
          <w:sz w:val="30"/>
          <w:szCs w:val="30"/>
          <w:lang w:val="de-CH"/>
        </w:rPr>
      </w:pPr>
      <w:r w:rsidRPr="00A02CEA">
        <w:rPr>
          <w:b/>
          <w:sz w:val="30"/>
          <w:szCs w:val="30"/>
          <w:lang w:val="de-CH"/>
        </w:rPr>
        <w:t>Bions Konzept der spezialisierten Arbeitsgruppe am Beispiel der Kirche</w:t>
      </w:r>
    </w:p>
    <w:p w:rsidR="00000000" w:rsidRDefault="000C1523">
      <w:pPr>
        <w:rPr>
          <w:sz w:val="30"/>
          <w:szCs w:val="30"/>
          <w:lang w:val="de-CH"/>
        </w:rPr>
      </w:pPr>
      <w:r>
        <w:rPr>
          <w:sz w:val="30"/>
          <w:szCs w:val="30"/>
          <w:lang w:val="de-CH"/>
        </w:rPr>
        <w:t>Peter Keimer</w:t>
      </w:r>
    </w:p>
    <w:p w:rsidR="00000000" w:rsidRDefault="000C1523">
      <w:pPr>
        <w:rPr>
          <w:sz w:val="30"/>
          <w:szCs w:val="30"/>
          <w:lang w:val="de-CH"/>
        </w:rPr>
      </w:pPr>
    </w:p>
    <w:p w:rsidR="00000000" w:rsidRDefault="000C1523">
      <w:pPr>
        <w:rPr>
          <w:sz w:val="30"/>
          <w:szCs w:val="30"/>
          <w:lang w:val="de-CH"/>
        </w:rPr>
      </w:pPr>
      <w:r>
        <w:rPr>
          <w:sz w:val="30"/>
          <w:szCs w:val="30"/>
          <w:lang w:val="de-CH"/>
        </w:rPr>
        <w:t>Eine Information für den Seminarabend der AGOG am 18. März 2011</w:t>
      </w:r>
    </w:p>
    <w:p w:rsidR="00000000" w:rsidRDefault="000C1523">
      <w:pPr>
        <w:rPr>
          <w:sz w:val="30"/>
          <w:szCs w:val="30"/>
          <w:lang w:val="de-CH"/>
        </w:rPr>
      </w:pPr>
      <w:r>
        <w:rPr>
          <w:sz w:val="30"/>
          <w:szCs w:val="30"/>
          <w:lang w:val="de-CH"/>
        </w:rPr>
        <w:t xml:space="preserve">im Zentrum Karl der </w:t>
      </w:r>
      <w:proofErr w:type="spellStart"/>
      <w:r>
        <w:rPr>
          <w:sz w:val="30"/>
          <w:szCs w:val="30"/>
          <w:lang w:val="de-CH"/>
        </w:rPr>
        <w:t>Grosse</w:t>
      </w:r>
      <w:proofErr w:type="spellEnd"/>
      <w:r>
        <w:rPr>
          <w:sz w:val="30"/>
          <w:szCs w:val="30"/>
          <w:lang w:val="de-CH"/>
        </w:rPr>
        <w:t xml:space="preserve"> in Zürich</w:t>
      </w:r>
    </w:p>
    <w:p w:rsidR="00000000" w:rsidRDefault="000C1523">
      <w:pPr>
        <w:rPr>
          <w:sz w:val="30"/>
          <w:szCs w:val="30"/>
          <w:lang w:val="de-CH"/>
        </w:rPr>
      </w:pPr>
    </w:p>
    <w:p w:rsidR="00000000" w:rsidRDefault="000C1523">
      <w:pPr>
        <w:rPr>
          <w:sz w:val="30"/>
          <w:szCs w:val="30"/>
          <w:lang w:val="de-CH"/>
        </w:rPr>
      </w:pPr>
      <w:r>
        <w:rPr>
          <w:sz w:val="30"/>
          <w:szCs w:val="30"/>
          <w:lang w:val="de-CH"/>
        </w:rPr>
        <w:t xml:space="preserve">Heute möchte ich Ihnen ein wenig bekanntes Konzept von Wilfred </w:t>
      </w:r>
      <w:proofErr w:type="spellStart"/>
      <w:r>
        <w:rPr>
          <w:sz w:val="30"/>
          <w:szCs w:val="30"/>
          <w:lang w:val="de-CH"/>
        </w:rPr>
        <w:t>Bion</w:t>
      </w:r>
      <w:proofErr w:type="spellEnd"/>
      <w:r>
        <w:rPr>
          <w:sz w:val="30"/>
          <w:szCs w:val="30"/>
          <w:lang w:val="de-CH"/>
        </w:rPr>
        <w:t xml:space="preserve"> v</w:t>
      </w:r>
      <w:r>
        <w:rPr>
          <w:sz w:val="30"/>
          <w:szCs w:val="30"/>
          <w:lang w:val="de-CH"/>
        </w:rPr>
        <w:t xml:space="preserve">orstellen und am Beispiel der Kirche erläutern. Im Gegensatz zu seinen Grundannahmegruppen ('Basic </w:t>
      </w:r>
      <w:proofErr w:type="spellStart"/>
      <w:r>
        <w:rPr>
          <w:sz w:val="30"/>
          <w:szCs w:val="30"/>
          <w:lang w:val="de-CH"/>
        </w:rPr>
        <w:t>assumption</w:t>
      </w:r>
      <w:proofErr w:type="spellEnd"/>
      <w:r>
        <w:rPr>
          <w:sz w:val="30"/>
          <w:szCs w:val="30"/>
          <w:lang w:val="de-CH"/>
        </w:rPr>
        <w:t xml:space="preserve"> </w:t>
      </w:r>
      <w:proofErr w:type="spellStart"/>
      <w:r>
        <w:rPr>
          <w:sz w:val="30"/>
          <w:szCs w:val="30"/>
          <w:lang w:val="de-CH"/>
        </w:rPr>
        <w:t>groups</w:t>
      </w:r>
      <w:proofErr w:type="spellEnd"/>
      <w:r>
        <w:rPr>
          <w:sz w:val="30"/>
          <w:szCs w:val="30"/>
          <w:lang w:val="de-CH"/>
        </w:rPr>
        <w:t>') ist das Konzept der spezialisierten Arbeitsgruppe nie auf grosse Resonanz gestossen.</w:t>
      </w:r>
    </w:p>
    <w:p w:rsidR="00000000" w:rsidRDefault="000C1523">
      <w:pPr>
        <w:rPr>
          <w:sz w:val="30"/>
          <w:szCs w:val="30"/>
          <w:lang w:val="de-CH"/>
        </w:rPr>
      </w:pPr>
    </w:p>
    <w:p w:rsidR="00000000" w:rsidRDefault="000C1523">
      <w:pPr>
        <w:rPr>
          <w:sz w:val="30"/>
          <w:szCs w:val="30"/>
          <w:lang w:val="de-CH"/>
        </w:rPr>
      </w:pPr>
      <w:r>
        <w:rPr>
          <w:sz w:val="30"/>
          <w:szCs w:val="30"/>
          <w:lang w:val="de-CH"/>
        </w:rPr>
        <w:t xml:space="preserve">Wir können dann miteinander diskutieren, warum das </w:t>
      </w:r>
      <w:r>
        <w:rPr>
          <w:sz w:val="30"/>
          <w:szCs w:val="30"/>
          <w:lang w:val="de-CH"/>
        </w:rPr>
        <w:t>so sein könnte und welche spezialisierten Arbeitsgruppen wir heute in unserer Gesellschaft identifizieren können.</w:t>
      </w:r>
    </w:p>
    <w:p w:rsidR="00000000" w:rsidRDefault="000C1523">
      <w:pPr>
        <w:rPr>
          <w:sz w:val="30"/>
          <w:szCs w:val="30"/>
          <w:lang w:val="de-CH"/>
        </w:rPr>
      </w:pPr>
    </w:p>
    <w:p w:rsidR="00000000" w:rsidRDefault="000C1523">
      <w:pPr>
        <w:rPr>
          <w:sz w:val="30"/>
          <w:szCs w:val="30"/>
          <w:lang w:val="de-CH"/>
        </w:rPr>
      </w:pPr>
      <w:r>
        <w:rPr>
          <w:sz w:val="30"/>
          <w:szCs w:val="30"/>
          <w:lang w:val="de-CH"/>
        </w:rPr>
        <w:t xml:space="preserve">Die spezialisierte Arbeitsgruppe basiert auf dem Konzept der Grundannahmegruppen (GA). Die drei Grundannahmegruppen sind </w:t>
      </w:r>
      <w:proofErr w:type="spellStart"/>
      <w:r>
        <w:rPr>
          <w:sz w:val="30"/>
          <w:szCs w:val="30"/>
          <w:lang w:val="de-CH"/>
        </w:rPr>
        <w:t>Bezeichungen</w:t>
      </w:r>
      <w:proofErr w:type="spellEnd"/>
      <w:r>
        <w:rPr>
          <w:sz w:val="30"/>
          <w:szCs w:val="30"/>
          <w:lang w:val="de-CH"/>
        </w:rPr>
        <w:t xml:space="preserve"> für Gru</w:t>
      </w:r>
      <w:r>
        <w:rPr>
          <w:sz w:val="30"/>
          <w:szCs w:val="30"/>
          <w:lang w:val="de-CH"/>
        </w:rPr>
        <w:t>ppendynamiken ('</w:t>
      </w:r>
      <w:proofErr w:type="spellStart"/>
      <w:r>
        <w:rPr>
          <w:sz w:val="30"/>
          <w:szCs w:val="30"/>
          <w:lang w:val="de-CH"/>
        </w:rPr>
        <w:t>group</w:t>
      </w:r>
      <w:proofErr w:type="spellEnd"/>
      <w:r>
        <w:rPr>
          <w:sz w:val="30"/>
          <w:szCs w:val="30"/>
          <w:lang w:val="de-CH"/>
        </w:rPr>
        <w:t xml:space="preserve"> </w:t>
      </w:r>
      <w:proofErr w:type="spellStart"/>
      <w:r>
        <w:rPr>
          <w:sz w:val="30"/>
          <w:szCs w:val="30"/>
          <w:lang w:val="de-CH"/>
        </w:rPr>
        <w:t>mentalities</w:t>
      </w:r>
      <w:proofErr w:type="spellEnd"/>
      <w:r>
        <w:rPr>
          <w:sz w:val="30"/>
          <w:szCs w:val="30"/>
          <w:lang w:val="de-CH"/>
        </w:rPr>
        <w:t xml:space="preserve">') in denen sich eine Gruppe, so </w:t>
      </w:r>
      <w:proofErr w:type="gramStart"/>
      <w:r>
        <w:rPr>
          <w:sz w:val="30"/>
          <w:szCs w:val="30"/>
          <w:lang w:val="de-CH"/>
        </w:rPr>
        <w:t>verhält ....</w:t>
      </w:r>
      <w:proofErr w:type="gramEnd"/>
    </w:p>
    <w:p w:rsidR="00000000" w:rsidRDefault="000C1523">
      <w:pPr>
        <w:tabs>
          <w:tab w:val="right" w:pos="9638"/>
        </w:tabs>
        <w:rPr>
          <w:sz w:val="30"/>
          <w:szCs w:val="30"/>
          <w:lang w:val="de-CH"/>
        </w:rPr>
      </w:pPr>
      <w:r>
        <w:rPr>
          <w:sz w:val="30"/>
          <w:szCs w:val="30"/>
          <w:lang w:val="de-CH"/>
        </w:rPr>
        <w:t xml:space="preserve">... als ob es darum ginge einen Feind zu bekämpfen, oder vor ihm zu fliehen </w:t>
      </w:r>
      <w:r w:rsidR="00A02CEA">
        <w:rPr>
          <w:sz w:val="30"/>
          <w:szCs w:val="30"/>
          <w:lang w:val="de-CH"/>
        </w:rPr>
        <w:br/>
      </w:r>
      <w:r>
        <w:rPr>
          <w:sz w:val="30"/>
          <w:szCs w:val="30"/>
          <w:lang w:val="de-CH"/>
        </w:rPr>
        <w:tab/>
        <w:t>(GA Kampf/Flucht)</w:t>
      </w:r>
    </w:p>
    <w:p w:rsidR="00000000" w:rsidRDefault="000C1523">
      <w:pPr>
        <w:tabs>
          <w:tab w:val="right" w:pos="9638"/>
        </w:tabs>
        <w:rPr>
          <w:sz w:val="30"/>
          <w:szCs w:val="30"/>
          <w:lang w:val="de-CH"/>
        </w:rPr>
      </w:pPr>
      <w:r>
        <w:rPr>
          <w:sz w:val="30"/>
          <w:szCs w:val="30"/>
          <w:lang w:val="de-CH"/>
        </w:rPr>
        <w:t xml:space="preserve">... als ob das Wohlergehen der Gruppe von einem Führer abhinge </w:t>
      </w:r>
      <w:r>
        <w:rPr>
          <w:sz w:val="30"/>
          <w:szCs w:val="30"/>
          <w:lang w:val="de-CH"/>
        </w:rPr>
        <w:tab/>
      </w:r>
      <w:r>
        <w:rPr>
          <w:sz w:val="30"/>
          <w:szCs w:val="30"/>
          <w:lang w:val="de-CH"/>
        </w:rPr>
        <w:br/>
      </w:r>
      <w:r>
        <w:rPr>
          <w:sz w:val="30"/>
          <w:szCs w:val="30"/>
          <w:lang w:val="de-CH"/>
        </w:rPr>
        <w:tab/>
        <w:t xml:space="preserve">(GA </w:t>
      </w:r>
      <w:proofErr w:type="spellStart"/>
      <w:r>
        <w:rPr>
          <w:sz w:val="30"/>
          <w:szCs w:val="30"/>
          <w:lang w:val="de-CH"/>
        </w:rPr>
        <w:t>Abhängungkei</w:t>
      </w:r>
      <w:r>
        <w:rPr>
          <w:sz w:val="30"/>
          <w:szCs w:val="30"/>
          <w:lang w:val="de-CH"/>
        </w:rPr>
        <w:t>t</w:t>
      </w:r>
      <w:proofErr w:type="spellEnd"/>
      <w:r>
        <w:rPr>
          <w:sz w:val="30"/>
          <w:szCs w:val="30"/>
          <w:lang w:val="de-CH"/>
        </w:rPr>
        <w:t>)</w:t>
      </w:r>
    </w:p>
    <w:p w:rsidR="00000000" w:rsidRDefault="000C1523">
      <w:pPr>
        <w:tabs>
          <w:tab w:val="right" w:pos="9638"/>
        </w:tabs>
        <w:rPr>
          <w:sz w:val="30"/>
          <w:szCs w:val="30"/>
          <w:lang w:val="de-CH"/>
        </w:rPr>
      </w:pPr>
      <w:r>
        <w:rPr>
          <w:sz w:val="30"/>
          <w:szCs w:val="30"/>
          <w:lang w:val="de-CH"/>
        </w:rPr>
        <w:t xml:space="preserve">... als ob ein Paar den Erlöser der Gruppe hervorbringen könnte </w:t>
      </w:r>
      <w:r>
        <w:rPr>
          <w:sz w:val="30"/>
          <w:szCs w:val="30"/>
          <w:lang w:val="de-CH"/>
        </w:rPr>
        <w:br/>
      </w:r>
      <w:r>
        <w:rPr>
          <w:sz w:val="30"/>
          <w:szCs w:val="30"/>
          <w:lang w:val="de-CH"/>
        </w:rPr>
        <w:tab/>
        <w:t>(GA Paarbildung).</w:t>
      </w:r>
    </w:p>
    <w:p w:rsidR="00000000" w:rsidRDefault="000C1523">
      <w:pPr>
        <w:rPr>
          <w:sz w:val="30"/>
          <w:szCs w:val="30"/>
          <w:lang w:val="de-CH"/>
        </w:rPr>
      </w:pPr>
    </w:p>
    <w:p w:rsidR="00000000" w:rsidRDefault="000C1523">
      <w:pPr>
        <w:rPr>
          <w:sz w:val="30"/>
          <w:szCs w:val="30"/>
          <w:lang w:val="de-CH"/>
        </w:rPr>
      </w:pPr>
      <w:r>
        <w:rPr>
          <w:sz w:val="30"/>
          <w:szCs w:val="30"/>
          <w:lang w:val="de-CH"/>
        </w:rPr>
        <w:t>Die Gruppenmitglieder verhalten sich so, als ob sie einer dieser unausgesprochenen Grundannahmen folgen würden, um die Gruppenängste abzuwehren. Die Gruppe entfernt sic</w:t>
      </w:r>
      <w:r>
        <w:rPr>
          <w:sz w:val="30"/>
          <w:szCs w:val="30"/>
          <w:lang w:val="de-CH"/>
        </w:rPr>
        <w:t>h so immer mehr von ihrer Hauptaufgabe, dem '</w:t>
      </w:r>
      <w:proofErr w:type="spellStart"/>
      <w:r>
        <w:rPr>
          <w:sz w:val="30"/>
          <w:szCs w:val="30"/>
          <w:lang w:val="de-CH"/>
        </w:rPr>
        <w:t>primary</w:t>
      </w:r>
      <w:proofErr w:type="spellEnd"/>
      <w:r>
        <w:rPr>
          <w:sz w:val="30"/>
          <w:szCs w:val="30"/>
          <w:lang w:val="de-CH"/>
        </w:rPr>
        <w:t xml:space="preserve"> </w:t>
      </w:r>
      <w:proofErr w:type="spellStart"/>
      <w:r>
        <w:rPr>
          <w:sz w:val="30"/>
          <w:szCs w:val="30"/>
          <w:lang w:val="de-CH"/>
        </w:rPr>
        <w:t>task</w:t>
      </w:r>
      <w:proofErr w:type="spellEnd"/>
      <w:r>
        <w:rPr>
          <w:sz w:val="30"/>
          <w:szCs w:val="30"/>
          <w:lang w:val="de-CH"/>
        </w:rPr>
        <w:t xml:space="preserve">'. </w:t>
      </w:r>
      <w:proofErr w:type="spellStart"/>
      <w:r>
        <w:rPr>
          <w:sz w:val="30"/>
          <w:szCs w:val="30"/>
          <w:lang w:val="de-CH"/>
        </w:rPr>
        <w:t>Bion</w:t>
      </w:r>
      <w:proofErr w:type="spellEnd"/>
      <w:r>
        <w:rPr>
          <w:sz w:val="30"/>
          <w:szCs w:val="30"/>
          <w:lang w:val="de-CH"/>
        </w:rPr>
        <w:t xml:space="preserve"> betont, dass dieser Grundannahmemodus für die meisten Gruppen des Alltagslebens eine Ausnahmesituation darstellt, die besonders häufig in Stresssituationen der Gruppe auftritt. Vorherrschend </w:t>
      </w:r>
      <w:r>
        <w:rPr>
          <w:sz w:val="30"/>
          <w:szCs w:val="30"/>
          <w:lang w:val="de-CH"/>
        </w:rPr>
        <w:t>ist der Arbeitsgruppenmodus, in dem die Gruppe rational und kooperativ an einem gemeinsamen Auftrag arbeitet. Auch in der elaborierten Arbeitsgruppe sind die Grundannahmemodi jedoch immer latent vorhanden. Diese Vorstellung kommt der operativen Gruppenkonz</w:t>
      </w:r>
      <w:r>
        <w:rPr>
          <w:sz w:val="30"/>
          <w:szCs w:val="30"/>
          <w:lang w:val="de-CH"/>
        </w:rPr>
        <w:t xml:space="preserve">eption sehr nahe. Hier sind es die </w:t>
      </w:r>
      <w:proofErr w:type="spellStart"/>
      <w:r>
        <w:rPr>
          <w:sz w:val="30"/>
          <w:szCs w:val="30"/>
          <w:lang w:val="de-CH"/>
        </w:rPr>
        <w:t>Emergenten</w:t>
      </w:r>
      <w:proofErr w:type="spellEnd"/>
      <w:r>
        <w:rPr>
          <w:sz w:val="30"/>
          <w:szCs w:val="30"/>
          <w:lang w:val="de-CH"/>
        </w:rPr>
        <w:t xml:space="preserve">, die die latente affektive Dynamik der Gruppe, die </w:t>
      </w:r>
      <w:proofErr w:type="spellStart"/>
      <w:r>
        <w:rPr>
          <w:sz w:val="30"/>
          <w:szCs w:val="30"/>
          <w:lang w:val="de-CH"/>
        </w:rPr>
        <w:t>Bion'schen</w:t>
      </w:r>
      <w:proofErr w:type="spellEnd"/>
      <w:r>
        <w:rPr>
          <w:sz w:val="30"/>
          <w:szCs w:val="30"/>
          <w:lang w:val="de-CH"/>
        </w:rPr>
        <w:t xml:space="preserve"> Grundannahmen, anzeigen.</w:t>
      </w:r>
    </w:p>
    <w:p w:rsidR="00000000" w:rsidRDefault="000C1523">
      <w:pPr>
        <w:rPr>
          <w:sz w:val="30"/>
          <w:szCs w:val="30"/>
          <w:lang w:val="de-CH"/>
        </w:rPr>
      </w:pPr>
    </w:p>
    <w:p w:rsidR="00000000" w:rsidRDefault="000C1523">
      <w:pPr>
        <w:rPr>
          <w:sz w:val="30"/>
          <w:szCs w:val="30"/>
          <w:lang w:val="de-CH"/>
        </w:rPr>
      </w:pPr>
      <w:r>
        <w:rPr>
          <w:sz w:val="30"/>
          <w:szCs w:val="30"/>
          <w:lang w:val="de-CH"/>
        </w:rPr>
        <w:lastRenderedPageBreak/>
        <w:t xml:space="preserve">In seinen Untersuchungen kommt er zum Schluss, dass der Grundannahmemodus nicht nur </w:t>
      </w:r>
      <w:proofErr w:type="spellStart"/>
      <w:r>
        <w:rPr>
          <w:sz w:val="30"/>
          <w:szCs w:val="30"/>
          <w:lang w:val="de-CH"/>
        </w:rPr>
        <w:t>disfunktional</w:t>
      </w:r>
      <w:proofErr w:type="spellEnd"/>
      <w:r>
        <w:rPr>
          <w:sz w:val="30"/>
          <w:szCs w:val="30"/>
          <w:lang w:val="de-CH"/>
        </w:rPr>
        <w:t xml:space="preserve"> ist, sondern in weniger </w:t>
      </w:r>
      <w:r>
        <w:rPr>
          <w:sz w:val="30"/>
          <w:szCs w:val="30"/>
          <w:lang w:val="de-CH"/>
        </w:rPr>
        <w:t>extremen Ausprägungen auch den Gruppenzweck unterstützt. Zum Beispiel durch die Bereitschaft der Gruppe einzelne Mitglieder mit Führungsaufgaben zu mandatieren und deren Führung zu akzeptieren. Oder das Gefühl der Hoffnung und Zuversicht, das eine Gruppe i</w:t>
      </w:r>
      <w:r>
        <w:rPr>
          <w:sz w:val="30"/>
          <w:szCs w:val="30"/>
          <w:lang w:val="de-CH"/>
        </w:rPr>
        <w:t>n der GA P inspirieren kann.</w:t>
      </w:r>
    </w:p>
    <w:p w:rsidR="00000000" w:rsidRDefault="000C1523">
      <w:pPr>
        <w:rPr>
          <w:sz w:val="30"/>
          <w:szCs w:val="30"/>
          <w:lang w:val="de-CH"/>
        </w:rPr>
      </w:pPr>
    </w:p>
    <w:p w:rsidR="00000000" w:rsidRDefault="000C1523">
      <w:pPr>
        <w:rPr>
          <w:sz w:val="30"/>
          <w:szCs w:val="30"/>
          <w:lang w:val="de-CH"/>
        </w:rPr>
      </w:pPr>
      <w:r>
        <w:rPr>
          <w:sz w:val="30"/>
          <w:szCs w:val="30"/>
          <w:lang w:val="de-CH"/>
        </w:rPr>
        <w:t xml:space="preserve">Das Konzept hat </w:t>
      </w:r>
      <w:proofErr w:type="spellStart"/>
      <w:r>
        <w:rPr>
          <w:sz w:val="30"/>
          <w:szCs w:val="30"/>
          <w:lang w:val="de-CH"/>
        </w:rPr>
        <w:t>Bion</w:t>
      </w:r>
      <w:proofErr w:type="spellEnd"/>
      <w:r>
        <w:rPr>
          <w:sz w:val="30"/>
          <w:szCs w:val="30"/>
          <w:lang w:val="de-CH"/>
        </w:rPr>
        <w:t xml:space="preserve"> zwar in einer Institution zur Rehabilitation von kriegstraumatisierten Soldaten entwickelt, aber später fast ausschliesslich in Kleingruppen mit 6 bis 12 </w:t>
      </w:r>
      <w:proofErr w:type="spellStart"/>
      <w:r>
        <w:rPr>
          <w:sz w:val="30"/>
          <w:szCs w:val="30"/>
          <w:lang w:val="de-CH"/>
        </w:rPr>
        <w:t>Tn</w:t>
      </w:r>
      <w:proofErr w:type="spellEnd"/>
      <w:r>
        <w:rPr>
          <w:sz w:val="30"/>
          <w:szCs w:val="30"/>
          <w:lang w:val="de-CH"/>
        </w:rPr>
        <w:t xml:space="preserve"> angewandt. Seine SchülerInnen (Menzies-</w:t>
      </w:r>
      <w:proofErr w:type="spellStart"/>
      <w:r>
        <w:rPr>
          <w:sz w:val="30"/>
          <w:szCs w:val="30"/>
          <w:lang w:val="de-CH"/>
        </w:rPr>
        <w:t>Lyth</w:t>
      </w:r>
      <w:proofErr w:type="spellEnd"/>
      <w:r>
        <w:rPr>
          <w:sz w:val="30"/>
          <w:szCs w:val="30"/>
          <w:lang w:val="de-CH"/>
        </w:rPr>
        <w:t>, Tri</w:t>
      </w:r>
      <w:r>
        <w:rPr>
          <w:sz w:val="30"/>
          <w:szCs w:val="30"/>
          <w:lang w:val="de-CH"/>
        </w:rPr>
        <w:t xml:space="preserve">st, Jacques, Miller u.a.) haben es auf Grossgruppen, z.B. in der </w:t>
      </w:r>
      <w:proofErr w:type="spellStart"/>
      <w:r>
        <w:rPr>
          <w:sz w:val="30"/>
          <w:szCs w:val="30"/>
          <w:lang w:val="de-CH"/>
        </w:rPr>
        <w:t>Tavistock</w:t>
      </w:r>
      <w:proofErr w:type="spellEnd"/>
      <w:r>
        <w:rPr>
          <w:sz w:val="30"/>
          <w:szCs w:val="30"/>
          <w:lang w:val="de-CH"/>
        </w:rPr>
        <w:t>-Conference, und auf Organisationen übertragen.</w:t>
      </w:r>
    </w:p>
    <w:p w:rsidR="00000000" w:rsidRDefault="000C1523">
      <w:pPr>
        <w:rPr>
          <w:sz w:val="30"/>
          <w:szCs w:val="30"/>
          <w:lang w:val="de-CH"/>
        </w:rPr>
      </w:pPr>
    </w:p>
    <w:p w:rsidR="00000000" w:rsidRDefault="000C1523">
      <w:pPr>
        <w:rPr>
          <w:sz w:val="30"/>
          <w:szCs w:val="30"/>
          <w:lang w:val="de-CH"/>
        </w:rPr>
      </w:pPr>
      <w:r>
        <w:rPr>
          <w:sz w:val="30"/>
          <w:szCs w:val="30"/>
          <w:lang w:val="de-CH"/>
        </w:rPr>
        <w:t>Erst viel später hat er wie Freud mit psychoanalytischen Mitteln auch gesellschaftliche Phänomene beschrieben und dabei aus den Grund</w:t>
      </w:r>
      <w:r>
        <w:rPr>
          <w:sz w:val="30"/>
          <w:szCs w:val="30"/>
          <w:lang w:val="de-CH"/>
        </w:rPr>
        <w:t xml:space="preserve">annahmegruppen das Konzept der „spezialisierten Arbeitsgruppe“ entwickelt. Er verwehrt sich gegen jede soziologische oder politische Anwendung seiner Konzepte. Sie sollen lediglich als mythologische </w:t>
      </w:r>
      <w:proofErr w:type="spellStart"/>
      <w:r>
        <w:rPr>
          <w:sz w:val="30"/>
          <w:szCs w:val="30"/>
          <w:lang w:val="de-CH"/>
        </w:rPr>
        <w:t>Konstrukte</w:t>
      </w:r>
      <w:proofErr w:type="spellEnd"/>
      <w:r>
        <w:rPr>
          <w:sz w:val="30"/>
          <w:szCs w:val="30"/>
          <w:lang w:val="de-CH"/>
        </w:rPr>
        <w:t xml:space="preserve"> aufgefasst werden, die dazu dienen die Gruppe </w:t>
      </w:r>
      <w:r>
        <w:rPr>
          <w:sz w:val="30"/>
          <w:szCs w:val="30"/>
          <w:lang w:val="de-CH"/>
        </w:rPr>
        <w:t>in der Innenwelt des Menschen zu verstehen.</w:t>
      </w:r>
    </w:p>
    <w:p w:rsidR="00000000" w:rsidRDefault="000C1523">
      <w:pPr>
        <w:rPr>
          <w:sz w:val="30"/>
          <w:szCs w:val="30"/>
          <w:lang w:val="de-CH"/>
        </w:rPr>
      </w:pPr>
    </w:p>
    <w:p w:rsidR="00000000" w:rsidRDefault="000C1523">
      <w:pPr>
        <w:rPr>
          <w:sz w:val="30"/>
          <w:szCs w:val="30"/>
          <w:lang w:val="de-CH"/>
        </w:rPr>
      </w:pPr>
      <w:r>
        <w:rPr>
          <w:sz w:val="30"/>
          <w:szCs w:val="30"/>
          <w:lang w:val="de-CH"/>
        </w:rPr>
        <w:t>Für jede der Grundannahmen postuliert er eine spezialisierte Arbeitsgruppe, die für die Gesellschaft eine latente affektive Dynamik symbolisiert. Die Funktion dieser spezialisierten Arbeitsgruppe ist es, die Stö</w:t>
      </w:r>
      <w:r>
        <w:rPr>
          <w:sz w:val="30"/>
          <w:szCs w:val="30"/>
          <w:lang w:val="de-CH"/>
        </w:rPr>
        <w:t xml:space="preserve">rungen aus dieser affektiven Dynamik abzuleiten und damit der </w:t>
      </w:r>
      <w:proofErr w:type="spellStart"/>
      <w:r>
        <w:rPr>
          <w:sz w:val="30"/>
          <w:szCs w:val="30"/>
          <w:lang w:val="de-CH"/>
        </w:rPr>
        <w:t>Hauptgruppe,der</w:t>
      </w:r>
      <w:proofErr w:type="spellEnd"/>
      <w:r>
        <w:rPr>
          <w:sz w:val="30"/>
          <w:szCs w:val="30"/>
          <w:lang w:val="de-CH"/>
        </w:rPr>
        <w:t xml:space="preserve"> Gesellschaft, zu ermöglichen, ihre Hauptaufgabe, die Förderung des Gemeinwohls,  rational und kooperativ zu erfüllen.</w:t>
      </w:r>
    </w:p>
    <w:p w:rsidR="00000000" w:rsidRDefault="000C1523">
      <w:pPr>
        <w:rPr>
          <w:sz w:val="30"/>
          <w:szCs w:val="30"/>
          <w:lang w:val="de-CH"/>
        </w:rPr>
      </w:pPr>
    </w:p>
    <w:p w:rsidR="00000000" w:rsidRDefault="000C1523">
      <w:pPr>
        <w:rPr>
          <w:sz w:val="30"/>
          <w:szCs w:val="30"/>
          <w:lang w:val="de-CH"/>
        </w:rPr>
      </w:pPr>
      <w:r>
        <w:rPr>
          <w:sz w:val="30"/>
          <w:szCs w:val="30"/>
          <w:lang w:val="de-CH"/>
        </w:rPr>
        <w:t>Für die Grundannahme Kampf/Flucht ist dies die Armee</w:t>
      </w:r>
    </w:p>
    <w:p w:rsidR="00000000" w:rsidRDefault="000C1523">
      <w:pPr>
        <w:rPr>
          <w:sz w:val="30"/>
          <w:szCs w:val="30"/>
          <w:lang w:val="de-CH"/>
        </w:rPr>
      </w:pPr>
      <w:r>
        <w:rPr>
          <w:sz w:val="30"/>
          <w:szCs w:val="30"/>
          <w:lang w:val="de-CH"/>
        </w:rPr>
        <w:t>für di</w:t>
      </w:r>
      <w:r>
        <w:rPr>
          <w:sz w:val="30"/>
          <w:szCs w:val="30"/>
          <w:lang w:val="de-CH"/>
        </w:rPr>
        <w:t>e Grundannahme Abhängigkeit die Kirche und</w:t>
      </w:r>
    </w:p>
    <w:p w:rsidR="00000000" w:rsidRDefault="000C1523">
      <w:pPr>
        <w:rPr>
          <w:sz w:val="30"/>
          <w:szCs w:val="30"/>
          <w:lang w:val="de-CH"/>
        </w:rPr>
      </w:pPr>
      <w:r>
        <w:rPr>
          <w:sz w:val="30"/>
          <w:szCs w:val="30"/>
          <w:lang w:val="de-CH"/>
        </w:rPr>
        <w:t>für die Grundannahme Paarbildung der Adel</w:t>
      </w:r>
    </w:p>
    <w:p w:rsidR="00000000" w:rsidRDefault="000C1523">
      <w:pPr>
        <w:rPr>
          <w:sz w:val="30"/>
          <w:szCs w:val="30"/>
          <w:lang w:val="de-CH"/>
        </w:rPr>
      </w:pPr>
    </w:p>
    <w:p w:rsidR="00000000" w:rsidRDefault="000C1523">
      <w:pPr>
        <w:rPr>
          <w:sz w:val="30"/>
          <w:szCs w:val="30"/>
          <w:lang w:val="de-CH"/>
        </w:rPr>
      </w:pPr>
      <w:r>
        <w:rPr>
          <w:sz w:val="30"/>
          <w:szCs w:val="30"/>
          <w:lang w:val="de-CH"/>
        </w:rPr>
        <w:t>Die spezialisierte Arbeitsgruppe definiert er mit sechs Merkmalen:</w:t>
      </w:r>
    </w:p>
    <w:p w:rsidR="00000000" w:rsidRDefault="000C1523">
      <w:pPr>
        <w:rPr>
          <w:sz w:val="30"/>
          <w:szCs w:val="30"/>
          <w:lang w:val="de-CH"/>
        </w:rPr>
      </w:pPr>
    </w:p>
    <w:p w:rsidR="00000000" w:rsidRDefault="000C1523">
      <w:pPr>
        <w:rPr>
          <w:sz w:val="30"/>
          <w:szCs w:val="30"/>
          <w:lang w:val="de-CH"/>
        </w:rPr>
      </w:pPr>
      <w:r>
        <w:rPr>
          <w:sz w:val="30"/>
          <w:szCs w:val="30"/>
          <w:lang w:val="de-CH"/>
        </w:rPr>
        <w:t>1</w:t>
      </w:r>
      <w:r>
        <w:rPr>
          <w:sz w:val="30"/>
          <w:szCs w:val="30"/>
          <w:lang w:val="de-CH"/>
        </w:rPr>
        <w:tab/>
        <w:t>Sie entwickelt sich als Teil der Hauptgruppe, der Gesellschaft,</w:t>
      </w:r>
    </w:p>
    <w:p w:rsidR="00000000" w:rsidRDefault="000C1523">
      <w:pPr>
        <w:rPr>
          <w:sz w:val="30"/>
          <w:szCs w:val="30"/>
          <w:lang w:val="de-CH"/>
        </w:rPr>
      </w:pPr>
      <w:r>
        <w:rPr>
          <w:sz w:val="30"/>
          <w:szCs w:val="30"/>
          <w:lang w:val="de-CH"/>
        </w:rPr>
        <w:t>2</w:t>
      </w:r>
      <w:r>
        <w:rPr>
          <w:sz w:val="30"/>
          <w:szCs w:val="30"/>
          <w:lang w:val="de-CH"/>
        </w:rPr>
        <w:tab/>
        <w:t>übersetzt Aktivität in die jeweili</w:t>
      </w:r>
      <w:r>
        <w:rPr>
          <w:sz w:val="30"/>
          <w:szCs w:val="30"/>
          <w:lang w:val="de-CH"/>
        </w:rPr>
        <w:t>ge Grundannahmen-Mentalität,</w:t>
      </w:r>
    </w:p>
    <w:p w:rsidR="00000000" w:rsidRDefault="000C1523">
      <w:pPr>
        <w:rPr>
          <w:sz w:val="30"/>
          <w:szCs w:val="30"/>
          <w:lang w:val="de-CH"/>
        </w:rPr>
      </w:pPr>
      <w:r>
        <w:rPr>
          <w:sz w:val="30"/>
          <w:szCs w:val="30"/>
          <w:lang w:val="de-CH"/>
        </w:rPr>
        <w:t>3</w:t>
      </w:r>
      <w:r>
        <w:rPr>
          <w:sz w:val="30"/>
          <w:szCs w:val="30"/>
          <w:lang w:val="de-CH"/>
        </w:rPr>
        <w:tab/>
        <w:t>um diese Mentalität stellvertretend für die Hauptgruppe auszudrücken.</w:t>
      </w:r>
    </w:p>
    <w:p w:rsidR="00000000" w:rsidRDefault="000C1523">
      <w:pPr>
        <w:rPr>
          <w:sz w:val="30"/>
          <w:szCs w:val="30"/>
          <w:lang w:val="de-CH"/>
        </w:rPr>
      </w:pPr>
      <w:r>
        <w:rPr>
          <w:sz w:val="30"/>
          <w:szCs w:val="30"/>
          <w:lang w:val="de-CH"/>
        </w:rPr>
        <w:t>4</w:t>
      </w:r>
      <w:r>
        <w:rPr>
          <w:sz w:val="30"/>
          <w:szCs w:val="30"/>
          <w:lang w:val="de-CH"/>
        </w:rPr>
        <w:tab/>
        <w:t>Sie ist speziell anfällig für störende Einflüsse aus dieser Mentalität</w:t>
      </w:r>
    </w:p>
    <w:p w:rsidR="00000000" w:rsidRDefault="000C1523">
      <w:pPr>
        <w:rPr>
          <w:sz w:val="30"/>
          <w:szCs w:val="30"/>
          <w:lang w:val="de-CH"/>
        </w:rPr>
      </w:pPr>
      <w:r>
        <w:rPr>
          <w:sz w:val="30"/>
          <w:szCs w:val="30"/>
          <w:lang w:val="de-CH"/>
        </w:rPr>
        <w:t>5</w:t>
      </w:r>
      <w:r>
        <w:rPr>
          <w:sz w:val="30"/>
          <w:szCs w:val="30"/>
          <w:lang w:val="de-CH"/>
        </w:rPr>
        <w:tab/>
        <w:t xml:space="preserve">und wird </w:t>
      </w:r>
      <w:proofErr w:type="spellStart"/>
      <w:r>
        <w:rPr>
          <w:sz w:val="30"/>
          <w:szCs w:val="30"/>
          <w:lang w:val="de-CH"/>
        </w:rPr>
        <w:t>disfunktional</w:t>
      </w:r>
      <w:proofErr w:type="spellEnd"/>
      <w:r>
        <w:rPr>
          <w:sz w:val="30"/>
          <w:szCs w:val="30"/>
          <w:lang w:val="de-CH"/>
        </w:rPr>
        <w:t>, wenn sie zu wenig aktiv oder überaktiv ist.</w:t>
      </w:r>
    </w:p>
    <w:p w:rsidR="00000000" w:rsidRDefault="000C1523">
      <w:pPr>
        <w:rPr>
          <w:sz w:val="30"/>
          <w:szCs w:val="30"/>
          <w:lang w:val="de-CH"/>
        </w:rPr>
      </w:pPr>
      <w:r>
        <w:rPr>
          <w:sz w:val="30"/>
          <w:szCs w:val="30"/>
          <w:lang w:val="de-CH"/>
        </w:rPr>
        <w:lastRenderedPageBreak/>
        <w:t xml:space="preserve">Am Beispiel </w:t>
      </w:r>
      <w:r>
        <w:rPr>
          <w:sz w:val="30"/>
          <w:szCs w:val="30"/>
          <w:lang w:val="de-CH"/>
        </w:rPr>
        <w:t>der Kirche erläutert: Im paradiesischen Zustand ist der Mensch eins mit Gott, es gibt keine Differenz zwischen Gott und den Menschen und damit auch keine Religion. In der zweiten Phase wird der sterbliche Mensch getrennt vom ewigen Gott. Diese Trennung wir</w:t>
      </w:r>
      <w:r>
        <w:rPr>
          <w:sz w:val="30"/>
          <w:szCs w:val="30"/>
          <w:lang w:val="de-CH"/>
        </w:rPr>
        <w:t>d ausgedrückt durch die Anbetung Gottes in religiöse Praktiken und durch die institutionalisierte Religion. Eine Priesterkaste bildet das Establishment, das zwischen den Menschen und Gott vermittelt, und damit die Trennung zementiert. Die Menschen aber tra</w:t>
      </w:r>
      <w:r>
        <w:rPr>
          <w:sz w:val="30"/>
          <w:szCs w:val="30"/>
          <w:lang w:val="de-CH"/>
        </w:rPr>
        <w:t>gen in sich eine Ahnung an ihren göttlichen Ursprung und sehnen sich nach einer Wiedervereinigung mit Gott. Von Zeit zu Zeit taucht ein Mystiker auf, der für sich in Anspruch nimmt eine direkte Verbindung zu Gott zu haben und das Heil allen verspricht, die</w:t>
      </w:r>
      <w:r>
        <w:rPr>
          <w:sz w:val="30"/>
          <w:szCs w:val="30"/>
          <w:lang w:val="de-CH"/>
        </w:rPr>
        <w:t xml:space="preserve"> ihm nachfolgen. Damit hat das Establishment ein Problem: Wie sollen sie mit dem Mystiker und seiner messianischen Idee umgehen ohne ihren Einfluss zu verlieren? Sie können ihn als Ketzer verfolgen oder – nach </w:t>
      </w:r>
      <w:proofErr w:type="spellStart"/>
      <w:r>
        <w:rPr>
          <w:sz w:val="30"/>
          <w:szCs w:val="30"/>
          <w:lang w:val="de-CH"/>
        </w:rPr>
        <w:t>Bion</w:t>
      </w:r>
      <w:proofErr w:type="spellEnd"/>
      <w:r>
        <w:rPr>
          <w:sz w:val="30"/>
          <w:szCs w:val="30"/>
          <w:lang w:val="de-CH"/>
        </w:rPr>
        <w:t xml:space="preserve"> viel effektiver – ihn ins Establishment i</w:t>
      </w:r>
      <w:r>
        <w:rPr>
          <w:sz w:val="30"/>
          <w:szCs w:val="30"/>
          <w:lang w:val="de-CH"/>
        </w:rPr>
        <w:t>ntegrieren, wo sein kreatives oder destruktives Potential absorbiert wird durch repräsentative oder administrative Funktionen.</w:t>
      </w:r>
    </w:p>
    <w:p w:rsidR="00000000" w:rsidRDefault="000C1523">
      <w:pPr>
        <w:rPr>
          <w:sz w:val="30"/>
          <w:szCs w:val="30"/>
          <w:lang w:val="de-CH"/>
        </w:rPr>
      </w:pPr>
    </w:p>
    <w:p w:rsidR="00000000" w:rsidRDefault="000C1523">
      <w:pPr>
        <w:rPr>
          <w:sz w:val="30"/>
          <w:szCs w:val="30"/>
          <w:lang w:val="de-CH"/>
        </w:rPr>
      </w:pPr>
      <w:r>
        <w:rPr>
          <w:sz w:val="30"/>
          <w:szCs w:val="30"/>
          <w:lang w:val="de-CH"/>
        </w:rPr>
        <w:t>Die Aufgabe der spezialisierten Arbeitsgruppe Kirche ist es also, den Affekten, die die Menschen in der Abhängigkeit von Gott er</w:t>
      </w:r>
      <w:r>
        <w:rPr>
          <w:sz w:val="30"/>
          <w:szCs w:val="30"/>
          <w:lang w:val="de-CH"/>
        </w:rPr>
        <w:t>leben, symbolischen Ausdruck zu geben. Die Gesellschaft hat diese Aufgabe an die Kirche delegiert, damit sie ohne den lähmenden Einfluss dieser erlebten Abhängigkeit ihre Hauptaufgabe rational und kooperativ erfüllen kann. Die Kirche wird für die Gesellsch</w:t>
      </w:r>
      <w:r>
        <w:rPr>
          <w:sz w:val="30"/>
          <w:szCs w:val="30"/>
          <w:lang w:val="de-CH"/>
        </w:rPr>
        <w:t>aft dann dysfunktional, wenn sie überaktiv ist, also die Abhängigkeit nicht nur Bitt- und  Dankgottesdiensten symbolisiert sondern auch als gesellschaftliches Ordnungsprinzip und in menschlichen Beziehungen predigt und durchsetzt. Oder wenn sie zu wenig ak</w:t>
      </w:r>
      <w:r>
        <w:rPr>
          <w:sz w:val="30"/>
          <w:szCs w:val="30"/>
          <w:lang w:val="de-CH"/>
        </w:rPr>
        <w:t>tiv und nicht mehr in der Lage ist dem Machbarkeitswahn der Gesellschaft ein Konzept der Demut entgegenzusetzen. Als spezialisierte Arbeitsgruppe für die Abhängigkeits-Mentalität ist die Kirche besonders anfällig, Abhängigkeiten zu schaffen oder sie auszun</w:t>
      </w:r>
      <w:r>
        <w:rPr>
          <w:sz w:val="30"/>
          <w:szCs w:val="30"/>
          <w:lang w:val="de-CH"/>
        </w:rPr>
        <w:t>utzen. Historische und aktuelle kirchliche Konflikte sind oft Konflikte zwischen Abhängigkeit von Dogmen oder Hierarchien und dem Streben nach Freiheit im Glauben oder Konflikte wischen etablierter Führung und revolutionären Propheten.</w:t>
      </w:r>
    </w:p>
    <w:p w:rsidR="00000000" w:rsidRDefault="000C1523">
      <w:pPr>
        <w:rPr>
          <w:sz w:val="30"/>
          <w:szCs w:val="30"/>
          <w:lang w:val="de-CH"/>
        </w:rPr>
      </w:pPr>
    </w:p>
    <w:p w:rsidR="00000000" w:rsidRDefault="000C1523">
      <w:pPr>
        <w:rPr>
          <w:sz w:val="30"/>
          <w:szCs w:val="30"/>
          <w:lang w:val="de-CH"/>
        </w:rPr>
      </w:pPr>
      <w:r>
        <w:rPr>
          <w:sz w:val="30"/>
          <w:szCs w:val="30"/>
          <w:lang w:val="de-CH"/>
        </w:rPr>
        <w:t xml:space="preserve">Obwohl </w:t>
      </w:r>
      <w:proofErr w:type="spellStart"/>
      <w:r>
        <w:rPr>
          <w:sz w:val="30"/>
          <w:szCs w:val="30"/>
          <w:lang w:val="de-CH"/>
        </w:rPr>
        <w:t>Bion</w:t>
      </w:r>
      <w:proofErr w:type="spellEnd"/>
      <w:r>
        <w:rPr>
          <w:sz w:val="30"/>
          <w:szCs w:val="30"/>
          <w:lang w:val="de-CH"/>
        </w:rPr>
        <w:t xml:space="preserve"> sein Ko</w:t>
      </w:r>
      <w:r>
        <w:rPr>
          <w:sz w:val="30"/>
          <w:szCs w:val="30"/>
          <w:lang w:val="de-CH"/>
        </w:rPr>
        <w:t>nzept der spezialisierten Arbeitsgruppe mit vielen religiösen Mythen und Beispielen aus der Kirchengeschichte illustriert braucht er es auch um ähnliche Phänomene in der Geschichte der (Britischen) Psychoanalytischen Gesellschaft aufzuzeigen, in der er zus</w:t>
      </w:r>
      <w:r>
        <w:rPr>
          <w:sz w:val="30"/>
          <w:szCs w:val="30"/>
          <w:lang w:val="de-CH"/>
        </w:rPr>
        <w:t xml:space="preserve">ammen mit Melanie Klein und andern Objektbeziehungstheoretikern oft 'den Gottesdienst </w:t>
      </w:r>
      <w:r>
        <w:rPr>
          <w:sz w:val="30"/>
          <w:szCs w:val="30"/>
          <w:lang w:val="de-CH"/>
        </w:rPr>
        <w:lastRenderedPageBreak/>
        <w:t>gestört' hat. Das Konzept der spezialisierten Arbeitsgruppe des Typus „Kirche“ ist also erweiterbar auf therapeutische Schulen und politische „Heilslehren“, illustriert z</w:t>
      </w:r>
      <w:r>
        <w:rPr>
          <w:sz w:val="30"/>
          <w:szCs w:val="30"/>
          <w:lang w:val="de-CH"/>
        </w:rPr>
        <w:t xml:space="preserve">.B. durch den Konflikt zwischen der dogmatischen kommunistischen Partei, stalinistischer Prägung und den anarchistisch-libertären „Ketzern“. Anstelle eines Gottes tritt dann „die Wahrheit“, „die reine Lehre“ oder „O“ wie </w:t>
      </w:r>
      <w:proofErr w:type="spellStart"/>
      <w:r>
        <w:rPr>
          <w:sz w:val="30"/>
          <w:szCs w:val="30"/>
          <w:lang w:val="de-CH"/>
        </w:rPr>
        <w:t>Bion</w:t>
      </w:r>
      <w:proofErr w:type="spellEnd"/>
      <w:r>
        <w:rPr>
          <w:sz w:val="30"/>
          <w:szCs w:val="30"/>
          <w:lang w:val="de-CH"/>
        </w:rPr>
        <w:t xml:space="preserve"> mit seinem Hang zu mathematisc</w:t>
      </w:r>
      <w:r>
        <w:rPr>
          <w:sz w:val="30"/>
          <w:szCs w:val="30"/>
          <w:lang w:val="de-CH"/>
        </w:rPr>
        <w:t>hen Symbolen es ausdrückte. Die Propheten wären dann die Begründer von neuen therapeutischen Schulen oder politischen Bewegungen.</w:t>
      </w:r>
    </w:p>
    <w:p w:rsidR="00000000" w:rsidRDefault="000C1523">
      <w:pPr>
        <w:rPr>
          <w:sz w:val="30"/>
          <w:szCs w:val="30"/>
          <w:lang w:val="de-CH"/>
        </w:rPr>
      </w:pPr>
    </w:p>
    <w:p w:rsidR="00000000" w:rsidRDefault="000C1523">
      <w:pPr>
        <w:rPr>
          <w:sz w:val="30"/>
          <w:szCs w:val="30"/>
          <w:lang w:val="de-CH"/>
        </w:rPr>
      </w:pPr>
      <w:r>
        <w:rPr>
          <w:sz w:val="30"/>
          <w:szCs w:val="30"/>
          <w:lang w:val="de-CH"/>
        </w:rPr>
        <w:t xml:space="preserve">Reed und Carr, zwei </w:t>
      </w:r>
      <w:proofErr w:type="spellStart"/>
      <w:r>
        <w:rPr>
          <w:sz w:val="30"/>
          <w:szCs w:val="30"/>
          <w:lang w:val="de-CH"/>
        </w:rPr>
        <w:t>kleinianische</w:t>
      </w:r>
      <w:proofErr w:type="spellEnd"/>
      <w:r>
        <w:rPr>
          <w:sz w:val="30"/>
          <w:szCs w:val="30"/>
          <w:lang w:val="de-CH"/>
        </w:rPr>
        <w:t xml:space="preserve"> </w:t>
      </w:r>
      <w:proofErr w:type="spellStart"/>
      <w:r>
        <w:rPr>
          <w:sz w:val="30"/>
          <w:szCs w:val="30"/>
          <w:lang w:val="de-CH"/>
        </w:rPr>
        <w:t>Psychoanlytischer</w:t>
      </w:r>
      <w:proofErr w:type="spellEnd"/>
      <w:r>
        <w:rPr>
          <w:sz w:val="30"/>
          <w:szCs w:val="30"/>
          <w:lang w:val="de-CH"/>
        </w:rPr>
        <w:t xml:space="preserve"> und </w:t>
      </w:r>
      <w:proofErr w:type="spellStart"/>
      <w:r>
        <w:rPr>
          <w:sz w:val="30"/>
          <w:szCs w:val="30"/>
          <w:lang w:val="de-CH"/>
        </w:rPr>
        <w:t>angelikanische</w:t>
      </w:r>
      <w:proofErr w:type="spellEnd"/>
      <w:r>
        <w:rPr>
          <w:sz w:val="30"/>
          <w:szCs w:val="30"/>
          <w:lang w:val="de-CH"/>
        </w:rPr>
        <w:t xml:space="preserve"> Theologen, unterscheiden zwischen </w:t>
      </w:r>
      <w:proofErr w:type="spellStart"/>
      <w:r>
        <w:rPr>
          <w:sz w:val="30"/>
          <w:szCs w:val="30"/>
          <w:lang w:val="de-CH"/>
        </w:rPr>
        <w:t>dependence</w:t>
      </w:r>
      <w:proofErr w:type="spellEnd"/>
      <w:r>
        <w:rPr>
          <w:sz w:val="30"/>
          <w:szCs w:val="30"/>
          <w:lang w:val="de-CH"/>
        </w:rPr>
        <w:t xml:space="preserve"> und </w:t>
      </w:r>
      <w:proofErr w:type="spellStart"/>
      <w:r>
        <w:rPr>
          <w:sz w:val="30"/>
          <w:szCs w:val="30"/>
          <w:lang w:val="de-CH"/>
        </w:rPr>
        <w:t>depen</w:t>
      </w:r>
      <w:r>
        <w:rPr>
          <w:sz w:val="30"/>
          <w:szCs w:val="30"/>
          <w:lang w:val="de-CH"/>
        </w:rPr>
        <w:t>dency</w:t>
      </w:r>
      <w:proofErr w:type="spellEnd"/>
      <w:r>
        <w:rPr>
          <w:sz w:val="30"/>
          <w:szCs w:val="30"/>
          <w:lang w:val="de-CH"/>
        </w:rPr>
        <w:t xml:space="preserve">. Der Unterschied ist kaum zu übersetzen, weil Abhängigkeit im Deutschen eindeutiger negativ konnotiert ist. Die beiden beziehen sich auf </w:t>
      </w:r>
      <w:proofErr w:type="spellStart"/>
      <w:r>
        <w:rPr>
          <w:sz w:val="30"/>
          <w:szCs w:val="30"/>
          <w:lang w:val="de-CH"/>
        </w:rPr>
        <w:t>Winnicott</w:t>
      </w:r>
      <w:proofErr w:type="spellEnd"/>
      <w:r>
        <w:rPr>
          <w:sz w:val="30"/>
          <w:szCs w:val="30"/>
          <w:lang w:val="de-CH"/>
        </w:rPr>
        <w:t>, der gegenüber Reed einmal die geäussert hat „</w:t>
      </w:r>
      <w:proofErr w:type="spellStart"/>
      <w:r>
        <w:rPr>
          <w:sz w:val="30"/>
          <w:szCs w:val="30"/>
          <w:lang w:val="de-CH"/>
        </w:rPr>
        <w:t>regression</w:t>
      </w:r>
      <w:proofErr w:type="spellEnd"/>
      <w:r>
        <w:rPr>
          <w:sz w:val="30"/>
          <w:szCs w:val="30"/>
          <w:lang w:val="de-CH"/>
        </w:rPr>
        <w:t xml:space="preserve"> </w:t>
      </w:r>
      <w:proofErr w:type="spellStart"/>
      <w:r>
        <w:rPr>
          <w:sz w:val="30"/>
          <w:szCs w:val="30"/>
          <w:lang w:val="de-CH"/>
        </w:rPr>
        <w:t>to</w:t>
      </w:r>
      <w:proofErr w:type="spellEnd"/>
      <w:r>
        <w:rPr>
          <w:sz w:val="30"/>
          <w:szCs w:val="30"/>
          <w:lang w:val="de-CH"/>
        </w:rPr>
        <w:t xml:space="preserve"> </w:t>
      </w:r>
      <w:proofErr w:type="spellStart"/>
      <w:r>
        <w:rPr>
          <w:sz w:val="30"/>
          <w:szCs w:val="30"/>
          <w:lang w:val="de-CH"/>
        </w:rPr>
        <w:t>childlike</w:t>
      </w:r>
      <w:proofErr w:type="spellEnd"/>
      <w:r>
        <w:rPr>
          <w:sz w:val="30"/>
          <w:szCs w:val="30"/>
          <w:lang w:val="de-CH"/>
        </w:rPr>
        <w:t xml:space="preserve"> </w:t>
      </w:r>
      <w:proofErr w:type="spellStart"/>
      <w:r>
        <w:rPr>
          <w:sz w:val="30"/>
          <w:szCs w:val="30"/>
          <w:lang w:val="de-CH"/>
        </w:rPr>
        <w:t>dependence</w:t>
      </w:r>
      <w:proofErr w:type="spellEnd"/>
      <w:r>
        <w:rPr>
          <w:sz w:val="30"/>
          <w:szCs w:val="30"/>
          <w:lang w:val="de-CH"/>
        </w:rPr>
        <w:t>“, Regression in eine k</w:t>
      </w:r>
      <w:r>
        <w:rPr>
          <w:sz w:val="30"/>
          <w:szCs w:val="30"/>
          <w:lang w:val="de-CH"/>
        </w:rPr>
        <w:t xml:space="preserve">indliche Abhängigkeit sei ein alltägliches Phänomen, immer dann zu beobachten, wenn das Bedürfnis nach Regeneration wichtiger wird als produktive Aktivität. Diese Art von </w:t>
      </w:r>
      <w:proofErr w:type="spellStart"/>
      <w:r>
        <w:rPr>
          <w:sz w:val="30"/>
          <w:szCs w:val="30"/>
          <w:lang w:val="de-CH"/>
        </w:rPr>
        <w:t>dependence</w:t>
      </w:r>
      <w:proofErr w:type="spellEnd"/>
      <w:r>
        <w:rPr>
          <w:sz w:val="30"/>
          <w:szCs w:val="30"/>
          <w:lang w:val="de-CH"/>
        </w:rPr>
        <w:t xml:space="preserve">, nahe bei beim Begriff Hingabe und Geborgenheit, erfüllt ein menschliches </w:t>
      </w:r>
      <w:r>
        <w:rPr>
          <w:sz w:val="30"/>
          <w:szCs w:val="30"/>
          <w:lang w:val="de-CH"/>
        </w:rPr>
        <w:t>Ur-Bedürfnis und schafft physischen oder symbolischen Kontakt mit Quellen der Regeneration. In biologischen Begriffen ausgedrückt, überwiegt die Aktivität des Parasympathikus über die des Sympathikus. Die Kirche erfüllt durch Rituale, Gesänge und durch den</w:t>
      </w:r>
      <w:r>
        <w:rPr>
          <w:sz w:val="30"/>
          <w:szCs w:val="30"/>
          <w:lang w:val="de-CH"/>
        </w:rPr>
        <w:t xml:space="preserve"> sakralen Raum diese Bedürfnisse nach </w:t>
      </w:r>
      <w:proofErr w:type="spellStart"/>
      <w:r>
        <w:rPr>
          <w:sz w:val="30"/>
          <w:szCs w:val="30"/>
          <w:lang w:val="de-CH"/>
        </w:rPr>
        <w:t>dependence</w:t>
      </w:r>
      <w:proofErr w:type="spellEnd"/>
      <w:r>
        <w:rPr>
          <w:sz w:val="30"/>
          <w:szCs w:val="30"/>
          <w:lang w:val="de-CH"/>
        </w:rPr>
        <w:t xml:space="preserve">, trägt dadurch zu einer emotionalen und spirituellen Regeneration der Gesellschaft bei und unterstützt so deren Hauptaufgabe, die Förderung des Gemeinwohls. Wenn </w:t>
      </w:r>
      <w:proofErr w:type="spellStart"/>
      <w:r>
        <w:rPr>
          <w:sz w:val="30"/>
          <w:szCs w:val="30"/>
          <w:lang w:val="de-CH"/>
        </w:rPr>
        <w:t>dependence</w:t>
      </w:r>
      <w:proofErr w:type="spellEnd"/>
      <w:r>
        <w:rPr>
          <w:sz w:val="30"/>
          <w:szCs w:val="30"/>
          <w:lang w:val="de-CH"/>
        </w:rPr>
        <w:t xml:space="preserve"> aber umschlägt in </w:t>
      </w:r>
      <w:proofErr w:type="spellStart"/>
      <w:r>
        <w:rPr>
          <w:sz w:val="30"/>
          <w:szCs w:val="30"/>
          <w:lang w:val="de-CH"/>
        </w:rPr>
        <w:t>dependency</w:t>
      </w:r>
      <w:proofErr w:type="spellEnd"/>
      <w:r>
        <w:rPr>
          <w:sz w:val="30"/>
          <w:szCs w:val="30"/>
          <w:lang w:val="de-CH"/>
        </w:rPr>
        <w:t>, entz</w:t>
      </w:r>
      <w:r>
        <w:rPr>
          <w:sz w:val="30"/>
          <w:szCs w:val="30"/>
          <w:lang w:val="de-CH"/>
        </w:rPr>
        <w:t>ieht die Kirche der Gesellschaft produktive Kräfte, indem sie Menschen vereinnahmt, entmündigt und in ihrem schöpferischen Potential beschneidet. Wie die Grundannahme-Mentalitäten haben also die spezialisierten Arbeitsgruppen sowohl positive wie schädliche</w:t>
      </w:r>
      <w:r>
        <w:rPr>
          <w:sz w:val="30"/>
          <w:szCs w:val="30"/>
          <w:lang w:val="de-CH"/>
        </w:rPr>
        <w:t>n Effekte auf die Gesellschaft.</w:t>
      </w:r>
    </w:p>
    <w:p w:rsidR="00000000" w:rsidRDefault="000C1523">
      <w:pPr>
        <w:rPr>
          <w:sz w:val="30"/>
          <w:szCs w:val="30"/>
          <w:lang w:val="de-CH"/>
        </w:rPr>
      </w:pPr>
    </w:p>
    <w:p w:rsidR="00000000" w:rsidRDefault="000C1523">
      <w:pPr>
        <w:rPr>
          <w:sz w:val="30"/>
          <w:szCs w:val="30"/>
          <w:lang w:val="de-CH"/>
        </w:rPr>
      </w:pPr>
    </w:p>
    <w:p w:rsidR="00000000" w:rsidRDefault="000C1523">
      <w:pPr>
        <w:rPr>
          <w:sz w:val="30"/>
          <w:szCs w:val="30"/>
          <w:lang w:val="de-CH"/>
        </w:rPr>
      </w:pPr>
    </w:p>
    <w:p w:rsidR="00000000" w:rsidRDefault="000C1523">
      <w:pPr>
        <w:pageBreakBefore/>
        <w:rPr>
          <w:sz w:val="30"/>
          <w:szCs w:val="30"/>
          <w:lang w:val="de-CH"/>
        </w:rPr>
      </w:pPr>
      <w:r>
        <w:rPr>
          <w:sz w:val="30"/>
          <w:szCs w:val="30"/>
          <w:lang w:val="de-CH"/>
        </w:rPr>
        <w:lastRenderedPageBreak/>
        <w:t>Anregungen zur Diskussion:</w:t>
      </w:r>
    </w:p>
    <w:p w:rsidR="00000000" w:rsidRDefault="000C1523">
      <w:pPr>
        <w:rPr>
          <w:sz w:val="30"/>
          <w:szCs w:val="30"/>
          <w:lang w:val="de-CH"/>
        </w:rPr>
      </w:pPr>
    </w:p>
    <w:p w:rsidR="00000000" w:rsidRDefault="000C1523">
      <w:pPr>
        <w:pBdr>
          <w:top w:val="single" w:sz="4" w:space="1" w:color="000000"/>
          <w:left w:val="single" w:sz="4" w:space="1" w:color="000000"/>
          <w:bottom w:val="single" w:sz="4" w:space="1" w:color="000000"/>
          <w:right w:val="single" w:sz="4" w:space="1" w:color="000000"/>
        </w:pBdr>
        <w:rPr>
          <w:i/>
          <w:iCs/>
          <w:sz w:val="30"/>
          <w:szCs w:val="30"/>
          <w:lang w:val="de-CH"/>
        </w:rPr>
      </w:pPr>
      <w:proofErr w:type="spellStart"/>
      <w:r>
        <w:rPr>
          <w:i/>
          <w:iCs/>
          <w:sz w:val="30"/>
          <w:szCs w:val="30"/>
          <w:lang w:val="de-CH"/>
        </w:rPr>
        <w:t>Bion</w:t>
      </w:r>
      <w:proofErr w:type="spellEnd"/>
      <w:r>
        <w:rPr>
          <w:i/>
          <w:iCs/>
          <w:sz w:val="30"/>
          <w:szCs w:val="30"/>
          <w:lang w:val="de-CH"/>
        </w:rPr>
        <w:t xml:space="preserve"> hat diese Konzepte in der Mitte des letzten Jahrhunderts vor und während des zweiten Weltkriegs in England entwickelt und mit den spezialisierten Arbeitsgruppen, drei gesellschaftliche Gru</w:t>
      </w:r>
      <w:r>
        <w:rPr>
          <w:i/>
          <w:iCs/>
          <w:sz w:val="30"/>
          <w:szCs w:val="30"/>
          <w:lang w:val="de-CH"/>
        </w:rPr>
        <w:t>ppen charakterisiert, die die britische Gesellschaft damals stark prägten. Seit dieser Zeit haben sich die gesellschaftlichen Verhältnisse gewandelt. Welches sind heute die spezialisierten Arbeitsgruppen in unserer Gesellschaft?</w:t>
      </w:r>
    </w:p>
    <w:p w:rsidR="00000000" w:rsidRDefault="000C1523">
      <w:pPr>
        <w:pBdr>
          <w:top w:val="single" w:sz="4" w:space="1" w:color="000000"/>
          <w:left w:val="single" w:sz="4" w:space="1" w:color="000000"/>
          <w:bottom w:val="single" w:sz="4" w:space="1" w:color="000000"/>
          <w:right w:val="single" w:sz="4" w:space="1" w:color="000000"/>
        </w:pBdr>
        <w:rPr>
          <w:i/>
          <w:iCs/>
          <w:sz w:val="30"/>
          <w:szCs w:val="30"/>
          <w:lang w:val="de-CH"/>
        </w:rPr>
      </w:pPr>
    </w:p>
    <w:p w:rsidR="00000000" w:rsidRDefault="000C1523">
      <w:pPr>
        <w:pBdr>
          <w:top w:val="single" w:sz="4" w:space="1" w:color="000000"/>
          <w:left w:val="single" w:sz="4" w:space="1" w:color="000000"/>
          <w:bottom w:val="single" w:sz="4" w:space="1" w:color="000000"/>
          <w:right w:val="single" w:sz="4" w:space="1" w:color="000000"/>
        </w:pBdr>
        <w:rPr>
          <w:i/>
          <w:iCs/>
          <w:sz w:val="30"/>
          <w:szCs w:val="30"/>
          <w:lang w:val="de-CH"/>
        </w:rPr>
      </w:pPr>
      <w:r>
        <w:rPr>
          <w:i/>
          <w:iCs/>
          <w:sz w:val="30"/>
          <w:szCs w:val="30"/>
          <w:lang w:val="de-CH"/>
        </w:rPr>
        <w:t>Ist es immer noch die Kirc</w:t>
      </w:r>
      <w:r>
        <w:rPr>
          <w:i/>
          <w:iCs/>
          <w:sz w:val="30"/>
          <w:szCs w:val="30"/>
          <w:lang w:val="de-CH"/>
        </w:rPr>
        <w:t>he, trotz der abnehmenden Mitgliederzahl?</w:t>
      </w:r>
    </w:p>
    <w:p w:rsidR="00000000" w:rsidRDefault="000C1523">
      <w:pPr>
        <w:pBdr>
          <w:top w:val="single" w:sz="4" w:space="1" w:color="000000"/>
          <w:left w:val="single" w:sz="4" w:space="1" w:color="000000"/>
          <w:bottom w:val="single" w:sz="4" w:space="1" w:color="000000"/>
          <w:right w:val="single" w:sz="4" w:space="1" w:color="000000"/>
        </w:pBdr>
        <w:rPr>
          <w:i/>
          <w:iCs/>
          <w:sz w:val="30"/>
          <w:szCs w:val="30"/>
          <w:lang w:val="de-CH"/>
        </w:rPr>
      </w:pPr>
    </w:p>
    <w:p w:rsidR="00000000" w:rsidRDefault="000C1523">
      <w:pPr>
        <w:pBdr>
          <w:top w:val="single" w:sz="4" w:space="1" w:color="000000"/>
          <w:left w:val="single" w:sz="4" w:space="1" w:color="000000"/>
          <w:bottom w:val="single" w:sz="4" w:space="1" w:color="000000"/>
          <w:right w:val="single" w:sz="4" w:space="1" w:color="000000"/>
        </w:pBdr>
        <w:rPr>
          <w:i/>
          <w:iCs/>
          <w:sz w:val="30"/>
          <w:szCs w:val="30"/>
          <w:lang w:val="de-CH"/>
        </w:rPr>
      </w:pPr>
      <w:r>
        <w:rPr>
          <w:i/>
          <w:iCs/>
          <w:sz w:val="30"/>
          <w:szCs w:val="30"/>
          <w:lang w:val="de-CH"/>
        </w:rPr>
        <w:t>Ist es die Armee, trotz ihres Bedeutungsverlustes seit der Diamant-Feier?</w:t>
      </w:r>
    </w:p>
    <w:p w:rsidR="00000000" w:rsidRDefault="000C1523">
      <w:pPr>
        <w:pBdr>
          <w:top w:val="single" w:sz="4" w:space="1" w:color="000000"/>
          <w:left w:val="single" w:sz="4" w:space="1" w:color="000000"/>
          <w:bottom w:val="single" w:sz="4" w:space="1" w:color="000000"/>
          <w:right w:val="single" w:sz="4" w:space="1" w:color="000000"/>
        </w:pBdr>
        <w:rPr>
          <w:i/>
          <w:iCs/>
          <w:sz w:val="30"/>
          <w:szCs w:val="30"/>
          <w:lang w:val="de-CH"/>
        </w:rPr>
      </w:pPr>
    </w:p>
    <w:p w:rsidR="00000000" w:rsidRDefault="000C1523">
      <w:pPr>
        <w:pBdr>
          <w:top w:val="single" w:sz="4" w:space="1" w:color="000000"/>
          <w:left w:val="single" w:sz="4" w:space="1" w:color="000000"/>
          <w:bottom w:val="single" w:sz="4" w:space="1" w:color="000000"/>
          <w:right w:val="single" w:sz="4" w:space="1" w:color="000000"/>
        </w:pBdr>
        <w:rPr>
          <w:i/>
          <w:iCs/>
          <w:sz w:val="30"/>
          <w:szCs w:val="30"/>
          <w:lang w:val="de-CH"/>
        </w:rPr>
      </w:pPr>
      <w:r>
        <w:rPr>
          <w:i/>
          <w:iCs/>
          <w:sz w:val="30"/>
          <w:szCs w:val="30"/>
          <w:lang w:val="de-CH"/>
        </w:rPr>
        <w:t>Und welche spezialisierte Arbeitsgruppe tritt in der Schweiz an Stelle des Adels?</w:t>
      </w:r>
    </w:p>
    <w:p w:rsidR="00000000" w:rsidRDefault="000C1523">
      <w:pPr>
        <w:pBdr>
          <w:top w:val="single" w:sz="4" w:space="1" w:color="000000"/>
          <w:left w:val="single" w:sz="4" w:space="1" w:color="000000"/>
          <w:bottom w:val="single" w:sz="4" w:space="1" w:color="000000"/>
          <w:right w:val="single" w:sz="4" w:space="1" w:color="000000"/>
        </w:pBdr>
        <w:rPr>
          <w:i/>
          <w:iCs/>
          <w:sz w:val="30"/>
          <w:szCs w:val="30"/>
          <w:lang w:val="de-CH"/>
        </w:rPr>
      </w:pPr>
    </w:p>
    <w:p w:rsidR="00000000" w:rsidRDefault="000C1523">
      <w:pPr>
        <w:pBdr>
          <w:top w:val="single" w:sz="4" w:space="1" w:color="000000"/>
          <w:left w:val="single" w:sz="4" w:space="1" w:color="000000"/>
          <w:bottom w:val="single" w:sz="4" w:space="1" w:color="000000"/>
          <w:right w:val="single" w:sz="4" w:space="1" w:color="000000"/>
        </w:pBdr>
        <w:rPr>
          <w:i/>
          <w:iCs/>
          <w:sz w:val="30"/>
          <w:szCs w:val="30"/>
          <w:lang w:val="de-CH"/>
        </w:rPr>
      </w:pPr>
      <w:proofErr w:type="spellStart"/>
      <w:r>
        <w:rPr>
          <w:i/>
          <w:iCs/>
          <w:sz w:val="30"/>
          <w:szCs w:val="30"/>
          <w:lang w:val="de-CH"/>
        </w:rPr>
        <w:t>Bion</w:t>
      </w:r>
      <w:proofErr w:type="spellEnd"/>
      <w:r>
        <w:rPr>
          <w:i/>
          <w:iCs/>
          <w:sz w:val="30"/>
          <w:szCs w:val="30"/>
          <w:lang w:val="de-CH"/>
        </w:rPr>
        <w:t xml:space="preserve"> hat nie ausgeschlossen, dass weitere Grundannahmen</w:t>
      </w:r>
      <w:r>
        <w:rPr>
          <w:i/>
          <w:iCs/>
          <w:sz w:val="30"/>
          <w:szCs w:val="30"/>
          <w:lang w:val="de-CH"/>
        </w:rPr>
        <w:t xml:space="preserve"> denkbar sind und damit auch spezialisierte Arbeitsgruppen dafür eine gesellschaftliche Funktion übernehmen könnten? Welche könnten das sein?</w:t>
      </w:r>
    </w:p>
    <w:p w:rsidR="00000000" w:rsidRDefault="000C1523">
      <w:pPr>
        <w:pBdr>
          <w:top w:val="single" w:sz="4" w:space="1" w:color="000000"/>
          <w:left w:val="single" w:sz="4" w:space="1" w:color="000000"/>
          <w:bottom w:val="single" w:sz="4" w:space="1" w:color="000000"/>
          <w:right w:val="single" w:sz="4" w:space="1" w:color="000000"/>
        </w:pBdr>
        <w:rPr>
          <w:i/>
          <w:iCs/>
          <w:sz w:val="30"/>
          <w:szCs w:val="30"/>
          <w:lang w:val="de-CH"/>
        </w:rPr>
      </w:pPr>
    </w:p>
    <w:p w:rsidR="00000000" w:rsidRDefault="000C1523">
      <w:pPr>
        <w:pBdr>
          <w:top w:val="single" w:sz="4" w:space="1" w:color="000000"/>
          <w:left w:val="single" w:sz="4" w:space="1" w:color="000000"/>
          <w:bottom w:val="single" w:sz="4" w:space="1" w:color="000000"/>
          <w:right w:val="single" w:sz="4" w:space="1" w:color="000000"/>
        </w:pBdr>
        <w:rPr>
          <w:i/>
          <w:iCs/>
          <w:sz w:val="30"/>
          <w:szCs w:val="30"/>
          <w:lang w:val="de-CH"/>
        </w:rPr>
      </w:pPr>
      <w:r>
        <w:rPr>
          <w:i/>
          <w:iCs/>
          <w:sz w:val="30"/>
          <w:szCs w:val="30"/>
          <w:lang w:val="de-CH"/>
        </w:rPr>
        <w:t xml:space="preserve">Oder müssen wir weiter vorne beginnen, indem wir bereits </w:t>
      </w:r>
      <w:proofErr w:type="spellStart"/>
      <w:r>
        <w:rPr>
          <w:i/>
          <w:iCs/>
          <w:sz w:val="30"/>
          <w:szCs w:val="30"/>
          <w:lang w:val="de-CH"/>
        </w:rPr>
        <w:t>Bion's</w:t>
      </w:r>
      <w:proofErr w:type="spellEnd"/>
      <w:r>
        <w:rPr>
          <w:i/>
          <w:iCs/>
          <w:sz w:val="30"/>
          <w:szCs w:val="30"/>
          <w:lang w:val="de-CH"/>
        </w:rPr>
        <w:t xml:space="preserve"> Metapher von der Gesellschaft als weitgehend rati</w:t>
      </w:r>
      <w:r>
        <w:rPr>
          <w:i/>
          <w:iCs/>
          <w:sz w:val="30"/>
          <w:szCs w:val="30"/>
          <w:lang w:val="de-CH"/>
        </w:rPr>
        <w:t>onale, aufgabenorientierte Arbeitsgruppe in Frage stellen? Es könnte sein, dass sich dieses einheitliche oder mindestens hegemoniale Gesellschaftsverständnis aufgelöst hat in eine Vielfalt von parallel koexistierenden Gesellschaftsverständnissen. Damit hät</w:t>
      </w:r>
      <w:r>
        <w:rPr>
          <w:i/>
          <w:iCs/>
          <w:sz w:val="30"/>
          <w:szCs w:val="30"/>
          <w:lang w:val="de-CH"/>
        </w:rPr>
        <w:t>te auch die spezialisierte Arbeitsgruppe ihre ausgleichende Funktion verloren. Die Vielfalt von sich überlagernden gesellschaftlichen Gruppen hätten alle je gegenseitig, die Funktion von spezialisierten Arbeitsgruppen.</w:t>
      </w:r>
    </w:p>
    <w:p w:rsidR="00000000" w:rsidRDefault="000C1523">
      <w:pPr>
        <w:rPr>
          <w:i/>
          <w:iCs/>
          <w:sz w:val="30"/>
          <w:szCs w:val="30"/>
          <w:lang w:val="de-CH"/>
        </w:rPr>
      </w:pPr>
    </w:p>
    <w:p w:rsidR="00000000" w:rsidRDefault="000C1523">
      <w:pPr>
        <w:rPr>
          <w:sz w:val="30"/>
          <w:szCs w:val="30"/>
          <w:lang w:val="de-CH"/>
        </w:rPr>
      </w:pPr>
      <w:r>
        <w:rPr>
          <w:sz w:val="30"/>
          <w:szCs w:val="30"/>
          <w:lang w:val="de-CH"/>
        </w:rPr>
        <w:t xml:space="preserve">Der Autor: Peter Keimer, </w:t>
      </w:r>
      <w:proofErr w:type="spellStart"/>
      <w:r>
        <w:rPr>
          <w:sz w:val="30"/>
          <w:szCs w:val="30"/>
          <w:lang w:val="de-CH"/>
        </w:rPr>
        <w:t>MSc</w:t>
      </w:r>
      <w:proofErr w:type="spellEnd"/>
      <w:r>
        <w:rPr>
          <w:sz w:val="30"/>
          <w:szCs w:val="30"/>
          <w:lang w:val="de-CH"/>
        </w:rPr>
        <w:t>, Superv</w:t>
      </w:r>
      <w:r>
        <w:rPr>
          <w:sz w:val="30"/>
          <w:szCs w:val="30"/>
          <w:lang w:val="de-CH"/>
        </w:rPr>
        <w:t xml:space="preserve">isor und Organisationberater BSO, Gruppe </w:t>
      </w:r>
      <w:proofErr w:type="spellStart"/>
      <w:r>
        <w:rPr>
          <w:sz w:val="30"/>
          <w:szCs w:val="30"/>
          <w:lang w:val="de-CH"/>
        </w:rPr>
        <w:t>TKaK</w:t>
      </w:r>
      <w:proofErr w:type="spellEnd"/>
      <w:r>
        <w:rPr>
          <w:sz w:val="30"/>
          <w:szCs w:val="30"/>
          <w:lang w:val="de-CH"/>
        </w:rPr>
        <w:t>, Bühlermatte 12, 3703 Aeschi, peter.keimer@trak-beratung.ch</w:t>
      </w:r>
    </w:p>
    <w:p w:rsidR="00000000" w:rsidRDefault="000C1523">
      <w:pPr>
        <w:rPr>
          <w:sz w:val="30"/>
          <w:szCs w:val="30"/>
          <w:lang w:val="de-CH"/>
        </w:rPr>
      </w:pPr>
    </w:p>
    <w:p w:rsidR="00000000" w:rsidRPr="00A02CEA" w:rsidRDefault="000C1523">
      <w:pPr>
        <w:rPr>
          <w:sz w:val="20"/>
          <w:szCs w:val="20"/>
          <w:lang w:val="en-GB"/>
        </w:rPr>
      </w:pPr>
      <w:proofErr w:type="spellStart"/>
      <w:r>
        <w:rPr>
          <w:sz w:val="20"/>
          <w:szCs w:val="20"/>
        </w:rPr>
        <w:t>Diese</w:t>
      </w:r>
      <w:proofErr w:type="spellEnd"/>
      <w:r>
        <w:rPr>
          <w:sz w:val="20"/>
          <w:szCs w:val="20"/>
        </w:rPr>
        <w:t xml:space="preserve"> Information </w:t>
      </w:r>
      <w:proofErr w:type="spellStart"/>
      <w:r>
        <w:rPr>
          <w:sz w:val="20"/>
          <w:szCs w:val="20"/>
        </w:rPr>
        <w:t>ist</w:t>
      </w:r>
      <w:proofErr w:type="spellEnd"/>
      <w:r>
        <w:rPr>
          <w:sz w:val="20"/>
          <w:szCs w:val="20"/>
        </w:rPr>
        <w:t xml:space="preserve"> </w:t>
      </w:r>
      <w:proofErr w:type="spellStart"/>
      <w:r>
        <w:rPr>
          <w:sz w:val="20"/>
          <w:szCs w:val="20"/>
        </w:rPr>
        <w:t>ein</w:t>
      </w:r>
      <w:proofErr w:type="spellEnd"/>
      <w:r>
        <w:rPr>
          <w:sz w:val="20"/>
          <w:szCs w:val="20"/>
        </w:rPr>
        <w:t xml:space="preserve"> </w:t>
      </w:r>
      <w:proofErr w:type="spellStart"/>
      <w:r>
        <w:rPr>
          <w:sz w:val="20"/>
          <w:szCs w:val="20"/>
        </w:rPr>
        <w:t>Auszug</w:t>
      </w:r>
      <w:proofErr w:type="spellEnd"/>
      <w:r>
        <w:rPr>
          <w:sz w:val="20"/>
          <w:szCs w:val="20"/>
        </w:rPr>
        <w:t xml:space="preserve"> </w:t>
      </w:r>
      <w:proofErr w:type="spellStart"/>
      <w:r>
        <w:rPr>
          <w:sz w:val="20"/>
          <w:szCs w:val="20"/>
        </w:rPr>
        <w:t>aus</w:t>
      </w:r>
      <w:proofErr w:type="spellEnd"/>
      <w:r>
        <w:rPr>
          <w:sz w:val="20"/>
          <w:szCs w:val="20"/>
        </w:rPr>
        <w:t xml:space="preserve"> </w:t>
      </w:r>
      <w:proofErr w:type="spellStart"/>
      <w:r>
        <w:rPr>
          <w:sz w:val="20"/>
          <w:szCs w:val="20"/>
        </w:rPr>
        <w:t>einem</w:t>
      </w:r>
      <w:proofErr w:type="spellEnd"/>
      <w:r>
        <w:rPr>
          <w:sz w:val="20"/>
          <w:szCs w:val="20"/>
        </w:rPr>
        <w:t xml:space="preserve"> </w:t>
      </w:r>
      <w:proofErr w:type="spellStart"/>
      <w:r>
        <w:rPr>
          <w:sz w:val="20"/>
          <w:szCs w:val="20"/>
        </w:rPr>
        <w:t>früheren</w:t>
      </w:r>
      <w:proofErr w:type="spellEnd"/>
      <w:r>
        <w:rPr>
          <w:sz w:val="20"/>
          <w:szCs w:val="20"/>
        </w:rPr>
        <w:t xml:space="preserve"> Paper</w:t>
      </w:r>
      <w:proofErr w:type="gramStart"/>
      <w:r>
        <w:rPr>
          <w:sz w:val="20"/>
          <w:szCs w:val="20"/>
        </w:rPr>
        <w:t>:</w:t>
      </w:r>
      <w:proofErr w:type="gramEnd"/>
      <w:r>
        <w:rPr>
          <w:sz w:val="20"/>
          <w:szCs w:val="20"/>
        </w:rPr>
        <w:br/>
        <w:t xml:space="preserve">Keimer, Peter: </w:t>
      </w:r>
      <w:r w:rsidRPr="00A02CEA">
        <w:rPr>
          <w:i/>
          <w:iCs/>
          <w:sz w:val="20"/>
          <w:szCs w:val="20"/>
          <w:lang w:val="en-GB"/>
        </w:rPr>
        <w:t>The Church – a Specialized Work Group</w:t>
      </w:r>
      <w:r w:rsidRPr="00A02CEA">
        <w:rPr>
          <w:b/>
          <w:sz w:val="20"/>
          <w:szCs w:val="20"/>
          <w:lang w:val="en-GB"/>
        </w:rPr>
        <w:t xml:space="preserve">, </w:t>
      </w:r>
      <w:r w:rsidRPr="00A02CEA">
        <w:rPr>
          <w:sz w:val="20"/>
          <w:szCs w:val="20"/>
          <w:lang w:val="en-GB"/>
        </w:rPr>
        <w:t>Working Paper presented at the OPUS-</w:t>
      </w:r>
      <w:r w:rsidRPr="00A02CEA">
        <w:rPr>
          <w:sz w:val="20"/>
          <w:szCs w:val="20"/>
          <w:lang w:val="en-GB"/>
        </w:rPr>
        <w:t>Conference, London, 2009.</w:t>
      </w:r>
      <w:r w:rsidRPr="00A02CEA">
        <w:rPr>
          <w:sz w:val="20"/>
          <w:szCs w:val="20"/>
          <w:lang w:val="en-GB"/>
        </w:rPr>
        <w:br/>
      </w:r>
    </w:p>
    <w:p w:rsidR="00000000" w:rsidRDefault="000C1523">
      <w:pPr>
        <w:rPr>
          <w:sz w:val="20"/>
          <w:szCs w:val="20"/>
          <w:lang w:val="de-CH"/>
        </w:rPr>
      </w:pPr>
      <w:r>
        <w:rPr>
          <w:sz w:val="20"/>
          <w:szCs w:val="20"/>
          <w:lang w:val="de-CH"/>
        </w:rPr>
        <w:t>darin verwendete Literatur:</w:t>
      </w:r>
    </w:p>
    <w:p w:rsidR="00000000" w:rsidRDefault="000C1523">
      <w:pPr>
        <w:rPr>
          <w:sz w:val="20"/>
          <w:szCs w:val="20"/>
          <w:lang w:val="de-CH"/>
        </w:rPr>
      </w:pPr>
    </w:p>
    <w:p w:rsidR="00000000" w:rsidRDefault="000C1523">
      <w:pPr>
        <w:ind w:left="709" w:hanging="709"/>
        <w:rPr>
          <w:sz w:val="20"/>
          <w:szCs w:val="20"/>
          <w:lang w:val="de-CH"/>
        </w:rPr>
      </w:pPr>
      <w:proofErr w:type="spellStart"/>
      <w:r>
        <w:rPr>
          <w:sz w:val="20"/>
          <w:szCs w:val="20"/>
          <w:lang w:val="de-CH"/>
        </w:rPr>
        <w:t>Abromeit</w:t>
      </w:r>
      <w:proofErr w:type="spellEnd"/>
      <w:r>
        <w:rPr>
          <w:sz w:val="20"/>
          <w:szCs w:val="20"/>
          <w:lang w:val="de-CH"/>
        </w:rPr>
        <w:t xml:space="preserve">, Hans-Jürgen (2006): </w:t>
      </w:r>
      <w:r>
        <w:rPr>
          <w:i/>
          <w:sz w:val="20"/>
          <w:szCs w:val="20"/>
          <w:lang w:val="de-CH"/>
        </w:rPr>
        <w:t>Warum lässt Gott das zu? Predigt.</w:t>
      </w:r>
      <w:r>
        <w:rPr>
          <w:sz w:val="20"/>
          <w:szCs w:val="20"/>
          <w:lang w:val="de-CH"/>
        </w:rPr>
        <w:t xml:space="preserve"> Greifswald: </w:t>
      </w:r>
      <w:r>
        <w:rPr>
          <w:rStyle w:val="apple-style-span"/>
          <w:sz w:val="20"/>
          <w:szCs w:val="20"/>
          <w:lang w:val="de-CH"/>
        </w:rPr>
        <w:t>web-</w:t>
      </w:r>
      <w:proofErr w:type="spellStart"/>
      <w:r>
        <w:rPr>
          <w:rStyle w:val="apple-style-span"/>
          <w:sz w:val="20"/>
          <w:szCs w:val="20"/>
          <w:lang w:val="de-CH"/>
        </w:rPr>
        <w:t>site</w:t>
      </w:r>
      <w:proofErr w:type="spellEnd"/>
      <w:r>
        <w:rPr>
          <w:rStyle w:val="apple-style-span"/>
          <w:sz w:val="20"/>
          <w:szCs w:val="20"/>
          <w:lang w:val="de-CH"/>
        </w:rPr>
        <w:t>: greifbar.net:</w:t>
      </w:r>
      <w:r>
        <w:rPr>
          <w:sz w:val="20"/>
          <w:szCs w:val="20"/>
          <w:lang w:val="de-CH"/>
        </w:rPr>
        <w:t xml:space="preserve"> http://www.greifbar.net/Warum-laesst-Gott-das-</w:t>
      </w:r>
      <w:proofErr w:type="gramStart"/>
      <w:r>
        <w:rPr>
          <w:sz w:val="20"/>
          <w:szCs w:val="20"/>
          <w:lang w:val="de-CH"/>
        </w:rPr>
        <w:t>zu.91.0.html ,</w:t>
      </w:r>
      <w:proofErr w:type="gramEnd"/>
      <w:r>
        <w:rPr>
          <w:sz w:val="20"/>
          <w:szCs w:val="20"/>
          <w:lang w:val="de-CH"/>
        </w:rPr>
        <w:t xml:space="preserve"> </w:t>
      </w:r>
      <w:proofErr w:type="spellStart"/>
      <w:r>
        <w:rPr>
          <w:sz w:val="20"/>
          <w:szCs w:val="20"/>
          <w:lang w:val="de-CH"/>
        </w:rPr>
        <w:t>accessed</w:t>
      </w:r>
      <w:proofErr w:type="spellEnd"/>
      <w:r>
        <w:rPr>
          <w:sz w:val="20"/>
          <w:szCs w:val="20"/>
          <w:lang w:val="de-CH"/>
        </w:rPr>
        <w:t xml:space="preserve"> 11.10.09</w:t>
      </w:r>
    </w:p>
    <w:p w:rsidR="00000000" w:rsidRDefault="000C1523">
      <w:pPr>
        <w:ind w:left="709" w:hanging="709"/>
        <w:rPr>
          <w:sz w:val="20"/>
          <w:szCs w:val="20"/>
          <w:lang w:val="en-GB"/>
        </w:rPr>
      </w:pPr>
      <w:r>
        <w:rPr>
          <w:sz w:val="20"/>
          <w:szCs w:val="20"/>
          <w:lang w:val="en-GB"/>
        </w:rPr>
        <w:t>Armstrong, David (199</w:t>
      </w:r>
      <w:r>
        <w:rPr>
          <w:sz w:val="20"/>
          <w:szCs w:val="20"/>
          <w:lang w:val="en-GB"/>
        </w:rPr>
        <w:t xml:space="preserve">2) </w:t>
      </w:r>
      <w:r>
        <w:rPr>
          <w:i/>
          <w:sz w:val="20"/>
          <w:szCs w:val="20"/>
          <w:lang w:val="en-GB"/>
        </w:rPr>
        <w:t>Names, Thoughts and Lies</w:t>
      </w:r>
      <w:r>
        <w:rPr>
          <w:sz w:val="20"/>
          <w:szCs w:val="20"/>
          <w:lang w:val="en-GB"/>
        </w:rPr>
        <w:t xml:space="preserve">. In: Armstrong, David, Robert French, Anton </w:t>
      </w:r>
      <w:proofErr w:type="spellStart"/>
      <w:r>
        <w:rPr>
          <w:sz w:val="20"/>
          <w:szCs w:val="20"/>
          <w:lang w:val="en-GB"/>
        </w:rPr>
        <w:t>Obholzer</w:t>
      </w:r>
      <w:proofErr w:type="spellEnd"/>
      <w:r>
        <w:rPr>
          <w:sz w:val="20"/>
          <w:szCs w:val="20"/>
          <w:lang w:val="en-GB"/>
        </w:rPr>
        <w:t xml:space="preserve"> (2005)</w:t>
      </w:r>
    </w:p>
    <w:p w:rsidR="00000000" w:rsidRDefault="000C1523">
      <w:pPr>
        <w:ind w:left="709" w:hanging="709"/>
        <w:rPr>
          <w:sz w:val="20"/>
          <w:szCs w:val="20"/>
          <w:lang w:val="en-GB"/>
        </w:rPr>
      </w:pPr>
      <w:r>
        <w:rPr>
          <w:sz w:val="20"/>
          <w:szCs w:val="20"/>
          <w:lang w:val="en-GB"/>
        </w:rPr>
        <w:t xml:space="preserve">Armstrong, David, Robert French, Anton </w:t>
      </w:r>
      <w:proofErr w:type="spellStart"/>
      <w:r>
        <w:rPr>
          <w:sz w:val="20"/>
          <w:szCs w:val="20"/>
          <w:lang w:val="en-GB"/>
        </w:rPr>
        <w:t>Obholzer</w:t>
      </w:r>
      <w:proofErr w:type="spellEnd"/>
      <w:r>
        <w:rPr>
          <w:sz w:val="20"/>
          <w:szCs w:val="20"/>
          <w:lang w:val="en-GB"/>
        </w:rPr>
        <w:t xml:space="preserve"> (Eds.) (2005): </w:t>
      </w:r>
      <w:r>
        <w:rPr>
          <w:i/>
          <w:sz w:val="20"/>
          <w:szCs w:val="20"/>
          <w:lang w:val="en-GB"/>
        </w:rPr>
        <w:t>Organization in the mind</w:t>
      </w:r>
      <w:r>
        <w:rPr>
          <w:sz w:val="20"/>
          <w:szCs w:val="20"/>
          <w:lang w:val="en-GB"/>
        </w:rPr>
        <w:t xml:space="preserve">. London: </w:t>
      </w:r>
      <w:proofErr w:type="spellStart"/>
      <w:r>
        <w:rPr>
          <w:sz w:val="20"/>
          <w:szCs w:val="20"/>
          <w:lang w:val="en-GB"/>
        </w:rPr>
        <w:t>Karnac</w:t>
      </w:r>
      <w:proofErr w:type="spellEnd"/>
      <w:r>
        <w:rPr>
          <w:sz w:val="20"/>
          <w:szCs w:val="20"/>
          <w:lang w:val="en-GB"/>
        </w:rPr>
        <w:t>.</w:t>
      </w:r>
    </w:p>
    <w:p w:rsidR="00000000" w:rsidRDefault="000C1523">
      <w:pPr>
        <w:ind w:left="709" w:hanging="709"/>
        <w:rPr>
          <w:sz w:val="20"/>
          <w:szCs w:val="20"/>
          <w:lang w:val="de-CH"/>
        </w:rPr>
      </w:pPr>
      <w:r>
        <w:rPr>
          <w:sz w:val="20"/>
          <w:szCs w:val="20"/>
          <w:lang w:val="de-CH"/>
        </w:rPr>
        <w:t xml:space="preserve">Augustinus (1977): </w:t>
      </w:r>
      <w:r>
        <w:rPr>
          <w:i/>
          <w:sz w:val="20"/>
          <w:szCs w:val="20"/>
          <w:lang w:val="de-CH"/>
        </w:rPr>
        <w:t xml:space="preserve">Vom Gottesstaat, de </w:t>
      </w:r>
      <w:proofErr w:type="spellStart"/>
      <w:r>
        <w:rPr>
          <w:i/>
          <w:sz w:val="20"/>
          <w:szCs w:val="20"/>
          <w:lang w:val="de-CH"/>
        </w:rPr>
        <w:t>civitae</w:t>
      </w:r>
      <w:proofErr w:type="spellEnd"/>
      <w:r>
        <w:rPr>
          <w:i/>
          <w:sz w:val="20"/>
          <w:szCs w:val="20"/>
          <w:lang w:val="de-CH"/>
        </w:rPr>
        <w:t xml:space="preserve"> </w:t>
      </w:r>
      <w:proofErr w:type="spellStart"/>
      <w:r>
        <w:rPr>
          <w:i/>
          <w:sz w:val="20"/>
          <w:szCs w:val="20"/>
          <w:lang w:val="de-CH"/>
        </w:rPr>
        <w:t>dei</w:t>
      </w:r>
      <w:proofErr w:type="spellEnd"/>
      <w:r>
        <w:rPr>
          <w:sz w:val="20"/>
          <w:szCs w:val="20"/>
          <w:lang w:val="de-CH"/>
        </w:rPr>
        <w:t>. München: De</w:t>
      </w:r>
      <w:r>
        <w:rPr>
          <w:sz w:val="20"/>
          <w:szCs w:val="20"/>
          <w:lang w:val="de-CH"/>
        </w:rPr>
        <w:t>utscher Taschenbuch Verlag</w:t>
      </w:r>
    </w:p>
    <w:p w:rsidR="00000000" w:rsidRDefault="000C1523">
      <w:pPr>
        <w:ind w:left="709" w:hanging="709"/>
        <w:rPr>
          <w:sz w:val="20"/>
          <w:szCs w:val="20"/>
          <w:lang w:val="en-GB"/>
        </w:rPr>
      </w:pPr>
      <w:proofErr w:type="spellStart"/>
      <w:r>
        <w:rPr>
          <w:sz w:val="20"/>
          <w:szCs w:val="20"/>
          <w:lang w:val="de-CH"/>
        </w:rPr>
        <w:lastRenderedPageBreak/>
        <w:t>Bion</w:t>
      </w:r>
      <w:proofErr w:type="spellEnd"/>
      <w:r>
        <w:rPr>
          <w:sz w:val="20"/>
          <w:szCs w:val="20"/>
          <w:lang w:val="de-CH"/>
        </w:rPr>
        <w:t xml:space="preserve">, (2001): </w:t>
      </w:r>
      <w:r>
        <w:rPr>
          <w:i/>
          <w:sz w:val="20"/>
          <w:szCs w:val="20"/>
          <w:lang w:val="de-CH"/>
        </w:rPr>
        <w:t>Erfahrungen und andere Schriften</w:t>
      </w:r>
      <w:r>
        <w:rPr>
          <w:sz w:val="20"/>
          <w:szCs w:val="20"/>
          <w:lang w:val="de-CH"/>
        </w:rPr>
        <w:t xml:space="preserve">. </w:t>
      </w:r>
      <w:r>
        <w:rPr>
          <w:sz w:val="20"/>
          <w:szCs w:val="20"/>
          <w:lang w:val="en-GB"/>
        </w:rPr>
        <w:t xml:space="preserve">Stuttgart: </w:t>
      </w:r>
      <w:proofErr w:type="spellStart"/>
      <w:r>
        <w:rPr>
          <w:sz w:val="20"/>
          <w:szCs w:val="20"/>
          <w:lang w:val="en-GB"/>
        </w:rPr>
        <w:t>Klett</w:t>
      </w:r>
      <w:proofErr w:type="spellEnd"/>
      <w:r>
        <w:rPr>
          <w:sz w:val="20"/>
          <w:szCs w:val="20"/>
          <w:lang w:val="en-GB"/>
        </w:rPr>
        <w:t>-Cotta.</w:t>
      </w:r>
    </w:p>
    <w:p w:rsidR="00000000" w:rsidRDefault="000C1523">
      <w:pPr>
        <w:ind w:left="709" w:hanging="709"/>
        <w:rPr>
          <w:sz w:val="20"/>
          <w:szCs w:val="20"/>
          <w:lang w:val="en-GB"/>
        </w:rPr>
      </w:pPr>
      <w:proofErr w:type="spellStart"/>
      <w:r>
        <w:rPr>
          <w:sz w:val="20"/>
          <w:szCs w:val="20"/>
          <w:lang w:val="en-GB"/>
        </w:rPr>
        <w:t>Bion</w:t>
      </w:r>
      <w:proofErr w:type="spellEnd"/>
      <w:r>
        <w:rPr>
          <w:sz w:val="20"/>
          <w:szCs w:val="20"/>
          <w:lang w:val="en-GB"/>
        </w:rPr>
        <w:t>, Wilfred R. (1952): Group Dynamics: A Re-View. Int. J. Psycho-Anal., 33:235-247.</w:t>
      </w:r>
    </w:p>
    <w:p w:rsidR="00000000" w:rsidRDefault="000C1523">
      <w:pPr>
        <w:ind w:left="709" w:hanging="709"/>
        <w:rPr>
          <w:sz w:val="20"/>
          <w:szCs w:val="20"/>
          <w:lang w:val="en-GB"/>
        </w:rPr>
      </w:pPr>
      <w:proofErr w:type="spellStart"/>
      <w:r>
        <w:rPr>
          <w:sz w:val="20"/>
          <w:szCs w:val="20"/>
          <w:lang w:val="en-GB"/>
        </w:rPr>
        <w:t>Bion</w:t>
      </w:r>
      <w:proofErr w:type="spellEnd"/>
      <w:r>
        <w:rPr>
          <w:sz w:val="20"/>
          <w:szCs w:val="20"/>
          <w:lang w:val="en-GB"/>
        </w:rPr>
        <w:t xml:space="preserve">, Wilfred R. (1961) </w:t>
      </w:r>
      <w:r>
        <w:rPr>
          <w:i/>
          <w:sz w:val="20"/>
          <w:szCs w:val="20"/>
          <w:lang w:val="en-GB"/>
        </w:rPr>
        <w:t>Experiences in Groups and Other Papers</w:t>
      </w:r>
      <w:r>
        <w:rPr>
          <w:sz w:val="20"/>
          <w:szCs w:val="20"/>
          <w:lang w:val="en-GB"/>
        </w:rPr>
        <w:t>. London:</w:t>
      </w:r>
      <w:r>
        <w:rPr>
          <w:sz w:val="20"/>
          <w:szCs w:val="20"/>
          <w:lang w:val="en-GB"/>
        </w:rPr>
        <w:t xml:space="preserve"> </w:t>
      </w:r>
      <w:proofErr w:type="spellStart"/>
      <w:r>
        <w:rPr>
          <w:sz w:val="20"/>
          <w:szCs w:val="20"/>
          <w:lang w:val="en-GB"/>
        </w:rPr>
        <w:t>Tavistock</w:t>
      </w:r>
      <w:proofErr w:type="spellEnd"/>
      <w:r>
        <w:rPr>
          <w:sz w:val="20"/>
          <w:szCs w:val="20"/>
          <w:lang w:val="en-GB"/>
        </w:rPr>
        <w:t>.</w:t>
      </w:r>
    </w:p>
    <w:p w:rsidR="00000000" w:rsidRDefault="000C1523">
      <w:pPr>
        <w:ind w:left="709" w:hanging="709"/>
        <w:rPr>
          <w:sz w:val="20"/>
          <w:szCs w:val="20"/>
          <w:lang w:val="en-GB"/>
        </w:rPr>
      </w:pPr>
      <w:proofErr w:type="spellStart"/>
      <w:r>
        <w:rPr>
          <w:sz w:val="20"/>
          <w:szCs w:val="20"/>
          <w:lang w:val="en-GB"/>
        </w:rPr>
        <w:t>Bion</w:t>
      </w:r>
      <w:proofErr w:type="spellEnd"/>
      <w:r>
        <w:rPr>
          <w:sz w:val="20"/>
          <w:szCs w:val="20"/>
          <w:lang w:val="en-GB"/>
        </w:rPr>
        <w:t xml:space="preserve">, Wilfred R. (1983, 1970): </w:t>
      </w:r>
      <w:r>
        <w:rPr>
          <w:i/>
          <w:sz w:val="20"/>
          <w:szCs w:val="20"/>
          <w:lang w:val="en-GB"/>
        </w:rPr>
        <w:t>Attention and Interpretation</w:t>
      </w:r>
      <w:r>
        <w:rPr>
          <w:sz w:val="20"/>
          <w:szCs w:val="20"/>
          <w:lang w:val="en-GB"/>
        </w:rPr>
        <w:t xml:space="preserve">. New </w:t>
      </w:r>
      <w:proofErr w:type="spellStart"/>
      <w:r>
        <w:rPr>
          <w:sz w:val="20"/>
          <w:szCs w:val="20"/>
          <w:lang w:val="en-GB"/>
        </w:rPr>
        <w:t>York</w:t>
      </w:r>
      <w:proofErr w:type="gramStart"/>
      <w:r>
        <w:rPr>
          <w:sz w:val="20"/>
          <w:szCs w:val="20"/>
          <w:lang w:val="en-GB"/>
        </w:rPr>
        <w:t>,London</w:t>
      </w:r>
      <w:proofErr w:type="spellEnd"/>
      <w:proofErr w:type="gramEnd"/>
      <w:r>
        <w:rPr>
          <w:sz w:val="20"/>
          <w:szCs w:val="20"/>
          <w:lang w:val="en-GB"/>
        </w:rPr>
        <w:t>: Jason Aronson.</w:t>
      </w:r>
    </w:p>
    <w:p w:rsidR="00000000" w:rsidRDefault="000C1523">
      <w:pPr>
        <w:ind w:left="709" w:hanging="709"/>
        <w:rPr>
          <w:sz w:val="20"/>
          <w:szCs w:val="20"/>
          <w:lang w:val="de-CH"/>
        </w:rPr>
      </w:pPr>
      <w:proofErr w:type="spellStart"/>
      <w:r>
        <w:rPr>
          <w:sz w:val="20"/>
          <w:szCs w:val="20"/>
          <w:lang w:val="de-CH"/>
        </w:rPr>
        <w:t>Bion</w:t>
      </w:r>
      <w:proofErr w:type="spellEnd"/>
      <w:r>
        <w:rPr>
          <w:sz w:val="20"/>
          <w:szCs w:val="20"/>
          <w:lang w:val="de-CH"/>
        </w:rPr>
        <w:t>, Wilfred R. (2009</w:t>
      </w:r>
      <w:r>
        <w:rPr>
          <w:sz w:val="20"/>
          <w:szCs w:val="20"/>
          <w:lang w:val="de-CH"/>
        </w:rPr>
        <w:t xml:space="preserve">, 1970): </w:t>
      </w:r>
      <w:r>
        <w:rPr>
          <w:i/>
          <w:sz w:val="20"/>
          <w:szCs w:val="20"/>
          <w:lang w:val="de-CH"/>
        </w:rPr>
        <w:t>Aufmerksamkeit und Deutung</w:t>
      </w:r>
      <w:r>
        <w:rPr>
          <w:sz w:val="20"/>
          <w:szCs w:val="20"/>
          <w:lang w:val="de-CH"/>
        </w:rPr>
        <w:t xml:space="preserve">. Frankfurt am Main: Brandes &amp; </w:t>
      </w:r>
      <w:proofErr w:type="spellStart"/>
      <w:r>
        <w:rPr>
          <w:sz w:val="20"/>
          <w:szCs w:val="20"/>
          <w:lang w:val="de-CH"/>
        </w:rPr>
        <w:t>Apsel</w:t>
      </w:r>
      <w:proofErr w:type="spellEnd"/>
      <w:r>
        <w:rPr>
          <w:sz w:val="20"/>
          <w:szCs w:val="20"/>
          <w:lang w:val="de-CH"/>
        </w:rPr>
        <w:t>.</w:t>
      </w:r>
    </w:p>
    <w:p w:rsidR="00000000" w:rsidRDefault="000C1523">
      <w:pPr>
        <w:ind w:left="709" w:hanging="709"/>
        <w:rPr>
          <w:sz w:val="20"/>
          <w:szCs w:val="20"/>
          <w:lang w:val="de-CH"/>
        </w:rPr>
      </w:pPr>
      <w:r>
        <w:rPr>
          <w:sz w:val="20"/>
          <w:szCs w:val="20"/>
          <w:lang w:val="de-CH"/>
        </w:rPr>
        <w:t xml:space="preserve">Bonhoeffer, Dietrich (1944): </w:t>
      </w:r>
      <w:r>
        <w:rPr>
          <w:i/>
          <w:sz w:val="20"/>
          <w:szCs w:val="20"/>
          <w:lang w:val="de-CH"/>
        </w:rPr>
        <w:t>Von guten Mächten</w:t>
      </w:r>
      <w:r>
        <w:rPr>
          <w:sz w:val="20"/>
          <w:szCs w:val="20"/>
          <w:lang w:val="de-CH"/>
        </w:rPr>
        <w:t>. In: Weim</w:t>
      </w:r>
      <w:r>
        <w:rPr>
          <w:sz w:val="20"/>
          <w:szCs w:val="20"/>
          <w:lang w:val="de-CH"/>
        </w:rPr>
        <w:t xml:space="preserve">er, </w:t>
      </w:r>
      <w:hyperlink r:id="rId7" w:anchor="_blank" w:history="1">
        <w:r w:rsidRPr="00A02CEA">
          <w:rPr>
            <w:rStyle w:val="Hyperlink"/>
            <w:lang w:val="de-CH"/>
          </w:rPr>
          <w:t xml:space="preserve">Alois </w:t>
        </w:r>
      </w:hyperlink>
      <w:r>
        <w:rPr>
          <w:sz w:val="20"/>
          <w:szCs w:val="20"/>
          <w:lang w:val="de-CH"/>
        </w:rPr>
        <w:t>(Ed.) (2006): Gebete der Dichter, Düsseldorf: P</w:t>
      </w:r>
      <w:r>
        <w:rPr>
          <w:sz w:val="20"/>
          <w:szCs w:val="20"/>
          <w:lang w:val="de-CH"/>
        </w:rPr>
        <w:t>atmos</w:t>
      </w:r>
    </w:p>
    <w:p w:rsidR="00000000" w:rsidRPr="00A02CEA" w:rsidRDefault="000C1523">
      <w:pPr>
        <w:ind w:left="709" w:hanging="709"/>
        <w:rPr>
          <w:sz w:val="20"/>
          <w:szCs w:val="20"/>
          <w:lang w:val="de-CH"/>
        </w:rPr>
      </w:pPr>
      <w:r>
        <w:rPr>
          <w:sz w:val="20"/>
          <w:szCs w:val="20"/>
          <w:lang w:val="en-GB"/>
        </w:rPr>
        <w:t xml:space="preserve">Carr, </w:t>
      </w:r>
      <w:proofErr w:type="spellStart"/>
      <w:r>
        <w:rPr>
          <w:sz w:val="20"/>
          <w:szCs w:val="20"/>
          <w:lang w:val="en-GB"/>
        </w:rPr>
        <w:t>Wesely</w:t>
      </w:r>
      <w:proofErr w:type="spellEnd"/>
      <w:r>
        <w:rPr>
          <w:sz w:val="20"/>
          <w:szCs w:val="20"/>
          <w:lang w:val="en-GB"/>
        </w:rPr>
        <w:t xml:space="preserve">: </w:t>
      </w:r>
      <w:r>
        <w:rPr>
          <w:i/>
          <w:sz w:val="20"/>
          <w:szCs w:val="20"/>
          <w:lang w:val="en-GB"/>
        </w:rPr>
        <w:t>The Exercise of Authority in a Dependent Context</w:t>
      </w:r>
      <w:r>
        <w:rPr>
          <w:sz w:val="20"/>
          <w:szCs w:val="20"/>
          <w:lang w:val="en-GB"/>
        </w:rPr>
        <w:t xml:space="preserve">. </w:t>
      </w:r>
      <w:r w:rsidRPr="00A02CEA">
        <w:rPr>
          <w:sz w:val="20"/>
          <w:szCs w:val="20"/>
          <w:lang w:val="de-CH"/>
        </w:rPr>
        <w:t>In: Gould et. al. 2001, p. 45 – 66</w:t>
      </w:r>
    </w:p>
    <w:p w:rsidR="00000000" w:rsidRDefault="000C1523">
      <w:pPr>
        <w:ind w:left="709" w:hanging="709"/>
        <w:rPr>
          <w:sz w:val="20"/>
          <w:szCs w:val="20"/>
          <w:lang w:val="de-CH"/>
        </w:rPr>
      </w:pPr>
      <w:r>
        <w:rPr>
          <w:sz w:val="20"/>
          <w:szCs w:val="20"/>
          <w:lang w:val="de-CH"/>
        </w:rPr>
        <w:t xml:space="preserve">Deleuze, Gilles und Félix </w:t>
      </w:r>
      <w:proofErr w:type="spellStart"/>
      <w:r>
        <w:rPr>
          <w:sz w:val="20"/>
          <w:szCs w:val="20"/>
          <w:lang w:val="de-CH"/>
        </w:rPr>
        <w:t>Guattari</w:t>
      </w:r>
      <w:proofErr w:type="spellEnd"/>
      <w:r>
        <w:rPr>
          <w:sz w:val="20"/>
          <w:szCs w:val="20"/>
          <w:lang w:val="de-CH"/>
        </w:rPr>
        <w:t xml:space="preserve"> (1997): </w:t>
      </w:r>
      <w:r>
        <w:rPr>
          <w:i/>
          <w:sz w:val="20"/>
          <w:szCs w:val="20"/>
          <w:lang w:val="de-CH"/>
        </w:rPr>
        <w:t>Tausend Plateaus</w:t>
      </w:r>
      <w:r>
        <w:rPr>
          <w:sz w:val="20"/>
          <w:szCs w:val="20"/>
          <w:lang w:val="de-CH"/>
        </w:rPr>
        <w:t xml:space="preserve">. Berlin: </w:t>
      </w:r>
      <w:proofErr w:type="spellStart"/>
      <w:r>
        <w:rPr>
          <w:sz w:val="20"/>
          <w:szCs w:val="20"/>
          <w:lang w:val="de-CH"/>
        </w:rPr>
        <w:t>Merve</w:t>
      </w:r>
      <w:proofErr w:type="spellEnd"/>
      <w:r>
        <w:rPr>
          <w:sz w:val="20"/>
          <w:szCs w:val="20"/>
          <w:lang w:val="de-CH"/>
        </w:rPr>
        <w:t>.</w:t>
      </w:r>
    </w:p>
    <w:p w:rsidR="00000000" w:rsidRDefault="000C1523">
      <w:pPr>
        <w:ind w:left="709" w:hanging="709"/>
        <w:rPr>
          <w:sz w:val="20"/>
          <w:szCs w:val="20"/>
          <w:lang w:val="en-GB"/>
        </w:rPr>
      </w:pPr>
      <w:r>
        <w:rPr>
          <w:sz w:val="20"/>
          <w:szCs w:val="20"/>
          <w:lang w:val="de-CH"/>
        </w:rPr>
        <w:t xml:space="preserve">Evangelisch-reformierter Synodalverband (1990): </w:t>
      </w:r>
      <w:r>
        <w:rPr>
          <w:i/>
          <w:sz w:val="20"/>
          <w:szCs w:val="20"/>
          <w:lang w:val="de-CH"/>
        </w:rPr>
        <w:t xml:space="preserve">Kirchenordnung vom 11. </w:t>
      </w:r>
      <w:r>
        <w:rPr>
          <w:i/>
          <w:sz w:val="20"/>
          <w:szCs w:val="20"/>
          <w:lang w:val="en-GB"/>
        </w:rPr>
        <w:t>Sept</w:t>
      </w:r>
      <w:r>
        <w:rPr>
          <w:i/>
          <w:sz w:val="20"/>
          <w:szCs w:val="20"/>
          <w:lang w:val="en-GB"/>
        </w:rPr>
        <w:t>ember 1990</w:t>
      </w:r>
      <w:r>
        <w:rPr>
          <w:sz w:val="20"/>
          <w:szCs w:val="20"/>
          <w:lang w:val="en-GB"/>
        </w:rPr>
        <w:t xml:space="preserve">. Bern: </w:t>
      </w:r>
      <w:proofErr w:type="spellStart"/>
      <w:r>
        <w:rPr>
          <w:sz w:val="20"/>
          <w:szCs w:val="20"/>
          <w:lang w:val="en-GB"/>
        </w:rPr>
        <w:t>Evangelisch-reformierter</w:t>
      </w:r>
      <w:proofErr w:type="spellEnd"/>
      <w:r>
        <w:rPr>
          <w:sz w:val="20"/>
          <w:szCs w:val="20"/>
          <w:lang w:val="en-GB"/>
        </w:rPr>
        <w:t xml:space="preserve"> </w:t>
      </w:r>
      <w:proofErr w:type="spellStart"/>
      <w:r>
        <w:rPr>
          <w:sz w:val="20"/>
          <w:szCs w:val="20"/>
          <w:lang w:val="en-GB"/>
        </w:rPr>
        <w:t>Synodalverband</w:t>
      </w:r>
      <w:proofErr w:type="spellEnd"/>
      <w:r>
        <w:rPr>
          <w:sz w:val="20"/>
          <w:szCs w:val="20"/>
          <w:lang w:val="en-GB"/>
        </w:rPr>
        <w:t xml:space="preserve"> Bern-Jura.</w:t>
      </w:r>
    </w:p>
    <w:p w:rsidR="00000000" w:rsidRDefault="000C1523">
      <w:pPr>
        <w:ind w:left="709" w:hanging="709"/>
        <w:rPr>
          <w:sz w:val="20"/>
          <w:szCs w:val="20"/>
          <w:lang w:val="fr-FR"/>
        </w:rPr>
      </w:pPr>
      <w:r>
        <w:rPr>
          <w:sz w:val="20"/>
          <w:szCs w:val="20"/>
          <w:lang w:val="en-GB"/>
        </w:rPr>
        <w:t xml:space="preserve">French, Robert and Peter </w:t>
      </w:r>
      <w:proofErr w:type="spellStart"/>
      <w:r>
        <w:rPr>
          <w:sz w:val="20"/>
          <w:szCs w:val="20"/>
          <w:lang w:val="en-GB"/>
        </w:rPr>
        <w:t>Simson</w:t>
      </w:r>
      <w:proofErr w:type="spellEnd"/>
      <w:r>
        <w:rPr>
          <w:sz w:val="20"/>
          <w:szCs w:val="20"/>
          <w:lang w:val="en-GB"/>
        </w:rPr>
        <w:t xml:space="preserve"> (2009): ‘The Work Group’ Redressing the Balance in </w:t>
      </w:r>
      <w:proofErr w:type="spellStart"/>
      <w:r>
        <w:rPr>
          <w:sz w:val="20"/>
          <w:szCs w:val="20"/>
          <w:lang w:val="en-GB"/>
        </w:rPr>
        <w:t>Bion’s</w:t>
      </w:r>
      <w:proofErr w:type="spellEnd"/>
      <w:r>
        <w:rPr>
          <w:sz w:val="20"/>
          <w:szCs w:val="20"/>
          <w:lang w:val="en-GB"/>
        </w:rPr>
        <w:t xml:space="preserve"> </w:t>
      </w:r>
      <w:r>
        <w:rPr>
          <w:i/>
          <w:sz w:val="20"/>
          <w:szCs w:val="20"/>
          <w:lang w:val="en-GB"/>
        </w:rPr>
        <w:t xml:space="preserve">Experiences in Groups. </w:t>
      </w:r>
      <w:proofErr w:type="spellStart"/>
      <w:r>
        <w:rPr>
          <w:sz w:val="20"/>
          <w:szCs w:val="20"/>
          <w:lang w:val="fr-FR"/>
        </w:rPr>
        <w:t>Working</w:t>
      </w:r>
      <w:proofErr w:type="spellEnd"/>
      <w:r>
        <w:rPr>
          <w:sz w:val="20"/>
          <w:szCs w:val="20"/>
          <w:lang w:val="fr-FR"/>
        </w:rPr>
        <w:t xml:space="preserve"> </w:t>
      </w:r>
      <w:proofErr w:type="spellStart"/>
      <w:r>
        <w:rPr>
          <w:sz w:val="20"/>
          <w:szCs w:val="20"/>
          <w:lang w:val="fr-FR"/>
        </w:rPr>
        <w:t>Paper</w:t>
      </w:r>
      <w:proofErr w:type="spellEnd"/>
      <w:r>
        <w:rPr>
          <w:sz w:val="20"/>
          <w:szCs w:val="20"/>
          <w:lang w:val="fr-FR"/>
        </w:rPr>
        <w:t>.</w:t>
      </w:r>
    </w:p>
    <w:p w:rsidR="00000000" w:rsidRDefault="000C1523">
      <w:pPr>
        <w:ind w:left="709" w:hanging="709"/>
        <w:rPr>
          <w:sz w:val="20"/>
          <w:szCs w:val="20"/>
          <w:lang w:val="en-GB"/>
        </w:rPr>
      </w:pPr>
      <w:proofErr w:type="spellStart"/>
      <w:r>
        <w:rPr>
          <w:sz w:val="20"/>
          <w:szCs w:val="20"/>
          <w:lang w:val="fr-FR"/>
        </w:rPr>
        <w:t>Gilon</w:t>
      </w:r>
      <w:proofErr w:type="spellEnd"/>
      <w:r>
        <w:rPr>
          <w:sz w:val="20"/>
          <w:szCs w:val="20"/>
          <w:lang w:val="fr-FR"/>
        </w:rPr>
        <w:t xml:space="preserve"> Christiane et Patrice Ville (2002) : </w:t>
      </w:r>
      <w:r>
        <w:rPr>
          <w:i/>
          <w:sz w:val="20"/>
          <w:szCs w:val="20"/>
          <w:lang w:val="fr-FR"/>
        </w:rPr>
        <w:t>Les Analyseur de</w:t>
      </w:r>
      <w:r>
        <w:rPr>
          <w:i/>
          <w:sz w:val="20"/>
          <w:szCs w:val="20"/>
          <w:lang w:val="fr-FR"/>
        </w:rPr>
        <w:t xml:space="preserve"> l’Église</w:t>
      </w:r>
      <w:r>
        <w:rPr>
          <w:sz w:val="20"/>
          <w:szCs w:val="20"/>
          <w:lang w:val="fr-FR"/>
        </w:rPr>
        <w:t xml:space="preserve">. </w:t>
      </w:r>
      <w:proofErr w:type="gramStart"/>
      <w:r>
        <w:rPr>
          <w:sz w:val="20"/>
          <w:szCs w:val="20"/>
          <w:lang w:val="en-GB"/>
        </w:rPr>
        <w:t>In :</w:t>
      </w:r>
      <w:proofErr w:type="gramEnd"/>
      <w:r>
        <w:rPr>
          <w:sz w:val="20"/>
          <w:szCs w:val="20"/>
          <w:lang w:val="en-GB"/>
        </w:rPr>
        <w:t xml:space="preserve"> </w:t>
      </w:r>
      <w:proofErr w:type="spellStart"/>
      <w:r>
        <w:rPr>
          <w:sz w:val="20"/>
          <w:szCs w:val="20"/>
          <w:lang w:val="en-GB"/>
        </w:rPr>
        <w:t>Lamihi</w:t>
      </w:r>
      <w:proofErr w:type="spellEnd"/>
      <w:r>
        <w:rPr>
          <w:sz w:val="20"/>
          <w:szCs w:val="20"/>
          <w:lang w:val="en-GB"/>
        </w:rPr>
        <w:t xml:space="preserve">, </w:t>
      </w:r>
      <w:proofErr w:type="spellStart"/>
      <w:r>
        <w:rPr>
          <w:sz w:val="20"/>
          <w:szCs w:val="20"/>
          <w:lang w:val="en-GB"/>
        </w:rPr>
        <w:t>Ahmend</w:t>
      </w:r>
      <w:proofErr w:type="spellEnd"/>
      <w:r>
        <w:rPr>
          <w:sz w:val="20"/>
          <w:szCs w:val="20"/>
          <w:lang w:val="en-GB"/>
        </w:rPr>
        <w:t xml:space="preserve"> et Gilles </w:t>
      </w:r>
      <w:proofErr w:type="spellStart"/>
      <w:r>
        <w:rPr>
          <w:sz w:val="20"/>
          <w:szCs w:val="20"/>
          <w:lang w:val="en-GB"/>
        </w:rPr>
        <w:t>Monceau</w:t>
      </w:r>
      <w:proofErr w:type="spellEnd"/>
      <w:r>
        <w:rPr>
          <w:sz w:val="20"/>
          <w:szCs w:val="20"/>
          <w:lang w:val="en-GB"/>
        </w:rPr>
        <w:t xml:space="preserve"> (Eds.) (2002)</w:t>
      </w:r>
    </w:p>
    <w:p w:rsidR="00000000" w:rsidRPr="00A02CEA" w:rsidRDefault="000C1523">
      <w:pPr>
        <w:ind w:left="709" w:hanging="709"/>
        <w:rPr>
          <w:sz w:val="20"/>
          <w:szCs w:val="20"/>
          <w:lang w:val="en-GB"/>
        </w:rPr>
      </w:pPr>
      <w:r>
        <w:rPr>
          <w:sz w:val="20"/>
          <w:szCs w:val="20"/>
          <w:lang w:val="en-GB"/>
        </w:rPr>
        <w:t xml:space="preserve">Gould, Lawrence, Lionel F. </w:t>
      </w:r>
      <w:proofErr w:type="spellStart"/>
      <w:r>
        <w:rPr>
          <w:sz w:val="20"/>
          <w:szCs w:val="20"/>
          <w:lang w:val="en-GB"/>
        </w:rPr>
        <w:t>Stapley</w:t>
      </w:r>
      <w:proofErr w:type="spellEnd"/>
      <w:r>
        <w:rPr>
          <w:sz w:val="20"/>
          <w:szCs w:val="20"/>
          <w:lang w:val="en-GB"/>
        </w:rPr>
        <w:t xml:space="preserve">, Mark Stein (Eds.) (2001): </w:t>
      </w:r>
      <w:r>
        <w:rPr>
          <w:i/>
          <w:sz w:val="20"/>
          <w:szCs w:val="20"/>
          <w:lang w:val="en-GB"/>
        </w:rPr>
        <w:t>The Systems Psychodynamics of Organizations</w:t>
      </w:r>
      <w:r>
        <w:rPr>
          <w:sz w:val="20"/>
          <w:szCs w:val="20"/>
          <w:lang w:val="en-GB"/>
        </w:rPr>
        <w:t xml:space="preserve">. </w:t>
      </w:r>
      <w:r w:rsidRPr="00A02CEA">
        <w:rPr>
          <w:sz w:val="20"/>
          <w:szCs w:val="20"/>
          <w:lang w:val="en-GB"/>
        </w:rPr>
        <w:t>London, New York: Karnac</w:t>
      </w:r>
    </w:p>
    <w:p w:rsidR="00000000" w:rsidRDefault="000C1523">
      <w:pPr>
        <w:ind w:left="709" w:hanging="709"/>
        <w:rPr>
          <w:sz w:val="20"/>
          <w:szCs w:val="20"/>
          <w:lang w:val="en-GB"/>
        </w:rPr>
      </w:pPr>
      <w:r>
        <w:rPr>
          <w:sz w:val="20"/>
          <w:szCs w:val="20"/>
          <w:lang w:val="en-GB"/>
        </w:rPr>
        <w:t xml:space="preserve">Hutton, Jean (2000): </w:t>
      </w:r>
      <w:r>
        <w:rPr>
          <w:i/>
          <w:sz w:val="20"/>
          <w:szCs w:val="20"/>
          <w:lang w:val="en-GB"/>
        </w:rPr>
        <w:t>Working with the concept of Organisation</w:t>
      </w:r>
      <w:r>
        <w:rPr>
          <w:i/>
          <w:sz w:val="20"/>
          <w:szCs w:val="20"/>
          <w:lang w:val="en-GB"/>
        </w:rPr>
        <w:t>-in-the-mind</w:t>
      </w:r>
      <w:r>
        <w:rPr>
          <w:sz w:val="20"/>
          <w:szCs w:val="20"/>
          <w:lang w:val="en-GB"/>
        </w:rPr>
        <w:t>. A</w:t>
      </w:r>
      <w:proofErr w:type="gramStart"/>
      <w:r>
        <w:rPr>
          <w:sz w:val="20"/>
          <w:szCs w:val="20"/>
          <w:lang w:val="en-GB"/>
        </w:rPr>
        <w:t>  paper</w:t>
      </w:r>
      <w:proofErr w:type="gramEnd"/>
      <w:r>
        <w:rPr>
          <w:sz w:val="20"/>
          <w:szCs w:val="20"/>
          <w:lang w:val="en-GB"/>
        </w:rPr>
        <w:t xml:space="preserve"> presented to the inscape conference, Germany, on 15 September 2000. </w:t>
      </w:r>
      <w:proofErr w:type="gramStart"/>
      <w:r>
        <w:rPr>
          <w:sz w:val="20"/>
          <w:szCs w:val="20"/>
          <w:lang w:val="en-GB"/>
        </w:rPr>
        <w:t>website</w:t>
      </w:r>
      <w:proofErr w:type="gramEnd"/>
      <w:r>
        <w:rPr>
          <w:sz w:val="20"/>
          <w:szCs w:val="20"/>
          <w:lang w:val="en-GB"/>
        </w:rPr>
        <w:t xml:space="preserve"> of the Grubb Institute, http://www.grubb.org.uk/attachments/034_Working%20with%20the%20concept%20of%20organisation%20in%20mind2.pdf , accessed on 27.10.2009</w:t>
      </w:r>
    </w:p>
    <w:p w:rsidR="00000000" w:rsidRDefault="000C1523">
      <w:pPr>
        <w:ind w:left="709" w:hanging="709"/>
        <w:rPr>
          <w:sz w:val="20"/>
          <w:szCs w:val="20"/>
          <w:lang w:val="en-GB"/>
        </w:rPr>
      </w:pPr>
      <w:proofErr w:type="spellStart"/>
      <w:r>
        <w:rPr>
          <w:sz w:val="20"/>
          <w:szCs w:val="20"/>
          <w:lang w:val="en-GB"/>
        </w:rPr>
        <w:t>Kernberg</w:t>
      </w:r>
      <w:proofErr w:type="spellEnd"/>
      <w:r>
        <w:rPr>
          <w:sz w:val="20"/>
          <w:szCs w:val="20"/>
          <w:lang w:val="en-GB"/>
        </w:rPr>
        <w:t xml:space="preserve"> (1978) </w:t>
      </w:r>
      <w:r>
        <w:rPr>
          <w:i/>
          <w:sz w:val="20"/>
          <w:szCs w:val="20"/>
          <w:lang w:val="en-GB"/>
        </w:rPr>
        <w:t>Leadership and organizational functioning: Organizational regression</w:t>
      </w:r>
      <w:r>
        <w:rPr>
          <w:sz w:val="20"/>
          <w:szCs w:val="20"/>
          <w:lang w:val="en-GB"/>
        </w:rPr>
        <w:t xml:space="preserve">. International Journal of Group Psychotherapy, </w:t>
      </w:r>
      <w:proofErr w:type="spellStart"/>
      <w:r>
        <w:rPr>
          <w:sz w:val="20"/>
          <w:szCs w:val="20"/>
          <w:lang w:val="en-GB"/>
        </w:rPr>
        <w:t>Vol</w:t>
      </w:r>
      <w:proofErr w:type="spellEnd"/>
      <w:r>
        <w:rPr>
          <w:sz w:val="20"/>
          <w:szCs w:val="20"/>
          <w:lang w:val="en-GB"/>
        </w:rPr>
        <w:t xml:space="preserve"> 28(1), Jan 1978, 3-25. New York: Guilford.</w:t>
      </w:r>
    </w:p>
    <w:p w:rsidR="00000000" w:rsidRDefault="000C1523">
      <w:pPr>
        <w:ind w:left="709" w:hanging="709"/>
        <w:rPr>
          <w:sz w:val="20"/>
          <w:szCs w:val="20"/>
          <w:lang w:val="de-CH"/>
        </w:rPr>
      </w:pPr>
      <w:r>
        <w:rPr>
          <w:sz w:val="20"/>
          <w:szCs w:val="20"/>
          <w:lang w:val="de-CH"/>
        </w:rPr>
        <w:t xml:space="preserve">Kinzel, Christian (2002): </w:t>
      </w:r>
      <w:r>
        <w:rPr>
          <w:i/>
          <w:sz w:val="20"/>
          <w:szCs w:val="20"/>
          <w:lang w:val="de-CH"/>
        </w:rPr>
        <w:t>Arbeit und Psyche</w:t>
      </w:r>
      <w:r>
        <w:rPr>
          <w:sz w:val="20"/>
          <w:szCs w:val="20"/>
          <w:lang w:val="de-CH"/>
        </w:rPr>
        <w:t>. Stuttgart: Kohlhammer.</w:t>
      </w:r>
    </w:p>
    <w:p w:rsidR="00000000" w:rsidRDefault="000C1523">
      <w:pPr>
        <w:ind w:left="709" w:hanging="709"/>
        <w:rPr>
          <w:sz w:val="20"/>
          <w:szCs w:val="20"/>
          <w:lang w:val="de-CH"/>
        </w:rPr>
      </w:pPr>
      <w:r>
        <w:rPr>
          <w:sz w:val="20"/>
          <w:szCs w:val="20"/>
          <w:lang w:val="de-CH"/>
        </w:rPr>
        <w:t>Küng, Han</w:t>
      </w:r>
      <w:r>
        <w:rPr>
          <w:sz w:val="20"/>
          <w:szCs w:val="20"/>
          <w:lang w:val="de-CH"/>
        </w:rPr>
        <w:t>s (1970) : Hans Küng, </w:t>
      </w:r>
      <w:r>
        <w:rPr>
          <w:i/>
          <w:sz w:val="20"/>
          <w:szCs w:val="20"/>
          <w:lang w:val="de-CH"/>
        </w:rPr>
        <w:t>Unfehlbar ? Eine Anfrage</w:t>
      </w:r>
      <w:r>
        <w:rPr>
          <w:sz w:val="20"/>
          <w:szCs w:val="20"/>
          <w:lang w:val="de-CH"/>
        </w:rPr>
        <w:t xml:space="preserve">, Zürich Einsiedeln Köln: </w:t>
      </w:r>
      <w:proofErr w:type="spellStart"/>
      <w:r>
        <w:rPr>
          <w:sz w:val="20"/>
          <w:szCs w:val="20"/>
          <w:lang w:val="de-CH"/>
        </w:rPr>
        <w:t>Benziger</w:t>
      </w:r>
      <w:proofErr w:type="spellEnd"/>
      <w:r>
        <w:rPr>
          <w:sz w:val="20"/>
          <w:szCs w:val="20"/>
          <w:lang w:val="de-CH"/>
        </w:rPr>
        <w:t xml:space="preserve"> Verlag. </w:t>
      </w:r>
    </w:p>
    <w:p w:rsidR="00000000" w:rsidRDefault="000C1523">
      <w:pPr>
        <w:ind w:left="709" w:hanging="709"/>
        <w:rPr>
          <w:sz w:val="20"/>
          <w:szCs w:val="20"/>
          <w:lang w:val="en-GB"/>
        </w:rPr>
      </w:pPr>
      <w:r>
        <w:rPr>
          <w:sz w:val="20"/>
          <w:szCs w:val="20"/>
          <w:lang w:val="en-GB"/>
        </w:rPr>
        <w:t xml:space="preserve">Mathew, In: </w:t>
      </w:r>
      <w:r>
        <w:rPr>
          <w:i/>
          <w:sz w:val="20"/>
          <w:szCs w:val="20"/>
          <w:lang w:val="en-GB"/>
        </w:rPr>
        <w:t>The Holy Bible, English Standard Version.</w:t>
      </w:r>
      <w:r>
        <w:rPr>
          <w:sz w:val="20"/>
          <w:szCs w:val="20"/>
          <w:lang w:val="en-GB"/>
        </w:rPr>
        <w:t xml:space="preserve"> (2001) </w:t>
      </w:r>
      <w:r>
        <w:rPr>
          <w:i/>
          <w:sz w:val="20"/>
          <w:szCs w:val="20"/>
          <w:lang w:val="en-GB"/>
        </w:rPr>
        <w:t xml:space="preserve"> </w:t>
      </w:r>
      <w:r>
        <w:rPr>
          <w:rFonts w:ascii="Georgia" w:hAnsi="Georgia"/>
          <w:color w:val="000000"/>
          <w:sz w:val="20"/>
          <w:szCs w:val="20"/>
          <w:lang w:val="en-GB"/>
        </w:rPr>
        <w:t>Wheaton, IL</w:t>
      </w:r>
      <w:r>
        <w:rPr>
          <w:sz w:val="20"/>
          <w:szCs w:val="20"/>
          <w:lang w:val="en-GB"/>
        </w:rPr>
        <w:t>: Good News and Crossway.</w:t>
      </w:r>
    </w:p>
    <w:p w:rsidR="00000000" w:rsidRDefault="000C1523">
      <w:pPr>
        <w:ind w:left="709" w:hanging="709"/>
        <w:rPr>
          <w:sz w:val="20"/>
          <w:szCs w:val="20"/>
          <w:lang w:val="en-GB"/>
        </w:rPr>
      </w:pPr>
      <w:r>
        <w:rPr>
          <w:sz w:val="20"/>
          <w:szCs w:val="20"/>
          <w:lang w:val="en-GB"/>
        </w:rPr>
        <w:t xml:space="preserve">McDougall, William (1973): </w:t>
      </w:r>
      <w:r>
        <w:rPr>
          <w:i/>
          <w:sz w:val="20"/>
          <w:szCs w:val="20"/>
          <w:lang w:val="en-GB"/>
        </w:rPr>
        <w:t>The Group Mind</w:t>
      </w:r>
      <w:r>
        <w:rPr>
          <w:sz w:val="20"/>
          <w:szCs w:val="20"/>
          <w:lang w:val="en-GB"/>
        </w:rPr>
        <w:t>. New York: Arno Press.</w:t>
      </w:r>
    </w:p>
    <w:p w:rsidR="00000000" w:rsidRDefault="000C1523">
      <w:pPr>
        <w:ind w:left="709" w:hanging="709"/>
        <w:rPr>
          <w:sz w:val="20"/>
          <w:szCs w:val="20"/>
          <w:lang w:val="en-GB"/>
        </w:rPr>
      </w:pPr>
      <w:proofErr w:type="spellStart"/>
      <w:proofErr w:type="gramStart"/>
      <w:r>
        <w:rPr>
          <w:sz w:val="20"/>
          <w:szCs w:val="20"/>
          <w:lang w:val="en-GB"/>
        </w:rPr>
        <w:t>Me</w:t>
      </w:r>
      <w:r>
        <w:rPr>
          <w:sz w:val="20"/>
          <w:szCs w:val="20"/>
          <w:lang w:val="en-GB"/>
        </w:rPr>
        <w:t>rleau-Ponty</w:t>
      </w:r>
      <w:proofErr w:type="spellEnd"/>
      <w:r>
        <w:rPr>
          <w:sz w:val="20"/>
          <w:szCs w:val="20"/>
          <w:lang w:val="en-GB"/>
        </w:rPr>
        <w:t>, M. (1964).</w:t>
      </w:r>
      <w:proofErr w:type="gramEnd"/>
      <w:r>
        <w:rPr>
          <w:sz w:val="20"/>
          <w:szCs w:val="20"/>
          <w:lang w:val="en-GB"/>
        </w:rPr>
        <w:t xml:space="preserve"> </w:t>
      </w:r>
      <w:proofErr w:type="gramStart"/>
      <w:r>
        <w:rPr>
          <w:i/>
          <w:sz w:val="20"/>
          <w:szCs w:val="20"/>
          <w:lang w:val="en-GB"/>
        </w:rPr>
        <w:t>The Child's Relations with Others</w:t>
      </w:r>
      <w:r>
        <w:rPr>
          <w:sz w:val="20"/>
          <w:szCs w:val="20"/>
          <w:lang w:val="en-GB"/>
        </w:rPr>
        <w:t>.</w:t>
      </w:r>
      <w:proofErr w:type="gramEnd"/>
      <w:r>
        <w:rPr>
          <w:sz w:val="20"/>
          <w:szCs w:val="20"/>
          <w:lang w:val="en-GB"/>
        </w:rPr>
        <w:t> </w:t>
      </w:r>
      <w:proofErr w:type="gramStart"/>
      <w:r>
        <w:rPr>
          <w:sz w:val="20"/>
          <w:szCs w:val="20"/>
          <w:lang w:val="en-GB"/>
        </w:rPr>
        <w:t>In :</w:t>
      </w:r>
      <w:proofErr w:type="gramEnd"/>
      <w:r>
        <w:rPr>
          <w:sz w:val="20"/>
          <w:szCs w:val="20"/>
          <w:lang w:val="en-GB"/>
        </w:rPr>
        <w:t xml:space="preserve"> Edie, James M. (Ed.): The Primacy of Perception. (pp. 96-155). Evanston: </w:t>
      </w:r>
      <w:proofErr w:type="spellStart"/>
      <w:r>
        <w:rPr>
          <w:sz w:val="20"/>
          <w:szCs w:val="20"/>
          <w:lang w:val="en-GB"/>
        </w:rPr>
        <w:t>Northwestern</w:t>
      </w:r>
      <w:proofErr w:type="spellEnd"/>
      <w:r>
        <w:rPr>
          <w:sz w:val="20"/>
          <w:szCs w:val="20"/>
          <w:lang w:val="en-GB"/>
        </w:rPr>
        <w:t xml:space="preserve"> University Press.</w:t>
      </w:r>
    </w:p>
    <w:p w:rsidR="00000000" w:rsidRDefault="000C1523">
      <w:pPr>
        <w:ind w:left="709" w:hanging="709"/>
        <w:rPr>
          <w:sz w:val="20"/>
          <w:szCs w:val="20"/>
          <w:lang w:val="en-GB"/>
        </w:rPr>
      </w:pPr>
      <w:r>
        <w:rPr>
          <w:sz w:val="20"/>
          <w:szCs w:val="20"/>
          <w:lang w:val="en-GB"/>
        </w:rPr>
        <w:t xml:space="preserve">Newton, John, Susan Long and </w:t>
      </w:r>
      <w:proofErr w:type="spellStart"/>
      <w:r>
        <w:rPr>
          <w:sz w:val="20"/>
          <w:szCs w:val="20"/>
          <w:lang w:val="en-GB"/>
        </w:rPr>
        <w:t>Burkhard</w:t>
      </w:r>
      <w:proofErr w:type="spellEnd"/>
      <w:r>
        <w:rPr>
          <w:sz w:val="20"/>
          <w:szCs w:val="20"/>
          <w:lang w:val="en-GB"/>
        </w:rPr>
        <w:t xml:space="preserve"> </w:t>
      </w:r>
      <w:proofErr w:type="spellStart"/>
      <w:r>
        <w:rPr>
          <w:sz w:val="20"/>
          <w:szCs w:val="20"/>
          <w:lang w:val="en-GB"/>
        </w:rPr>
        <w:t>Sievers</w:t>
      </w:r>
      <w:proofErr w:type="spellEnd"/>
      <w:r>
        <w:rPr>
          <w:sz w:val="20"/>
          <w:szCs w:val="20"/>
          <w:lang w:val="en-GB"/>
        </w:rPr>
        <w:t xml:space="preserve"> (Eds.): </w:t>
      </w:r>
      <w:r>
        <w:rPr>
          <w:i/>
          <w:sz w:val="20"/>
          <w:szCs w:val="20"/>
          <w:lang w:val="en-GB"/>
        </w:rPr>
        <w:t xml:space="preserve">Coaching in Depth. </w:t>
      </w:r>
      <w:proofErr w:type="gramStart"/>
      <w:r>
        <w:rPr>
          <w:i/>
          <w:sz w:val="20"/>
          <w:szCs w:val="20"/>
          <w:lang w:val="en-GB"/>
        </w:rPr>
        <w:t>The organisatio</w:t>
      </w:r>
      <w:r>
        <w:rPr>
          <w:i/>
          <w:sz w:val="20"/>
          <w:szCs w:val="20"/>
          <w:lang w:val="en-GB"/>
        </w:rPr>
        <w:t>nal Role Analysis Approach.</w:t>
      </w:r>
      <w:proofErr w:type="gramEnd"/>
      <w:r>
        <w:rPr>
          <w:sz w:val="20"/>
          <w:szCs w:val="20"/>
          <w:lang w:val="en-GB"/>
        </w:rPr>
        <w:t xml:space="preserve"> London and New York: </w:t>
      </w:r>
      <w:proofErr w:type="spellStart"/>
      <w:r>
        <w:rPr>
          <w:sz w:val="20"/>
          <w:szCs w:val="20"/>
          <w:lang w:val="en-GB"/>
        </w:rPr>
        <w:t>Karnac</w:t>
      </w:r>
      <w:proofErr w:type="spellEnd"/>
      <w:r>
        <w:rPr>
          <w:sz w:val="20"/>
          <w:szCs w:val="20"/>
          <w:lang w:val="en-GB"/>
        </w:rPr>
        <w:t>.</w:t>
      </w:r>
    </w:p>
    <w:p w:rsidR="00000000" w:rsidRDefault="000C1523">
      <w:pPr>
        <w:ind w:left="709" w:hanging="709"/>
        <w:rPr>
          <w:sz w:val="20"/>
          <w:szCs w:val="20"/>
          <w:lang w:val="en-GB"/>
        </w:rPr>
      </w:pPr>
      <w:proofErr w:type="spellStart"/>
      <w:r>
        <w:rPr>
          <w:sz w:val="20"/>
          <w:szCs w:val="20"/>
          <w:lang w:val="de-CH"/>
        </w:rPr>
        <w:t>Ragaz</w:t>
      </w:r>
      <w:proofErr w:type="spellEnd"/>
      <w:r>
        <w:rPr>
          <w:sz w:val="20"/>
          <w:szCs w:val="20"/>
          <w:lang w:val="de-CH"/>
        </w:rPr>
        <w:t xml:space="preserve">, Leonhard (1929): </w:t>
      </w:r>
      <w:r>
        <w:rPr>
          <w:i/>
          <w:sz w:val="20"/>
          <w:szCs w:val="20"/>
          <w:lang w:val="de-CH"/>
        </w:rPr>
        <w:t>Von Christus zu Marx – von Marx zu Christus</w:t>
      </w:r>
      <w:r>
        <w:rPr>
          <w:sz w:val="20"/>
          <w:szCs w:val="20"/>
          <w:lang w:val="de-CH"/>
        </w:rPr>
        <w:t xml:space="preserve">. </w:t>
      </w:r>
      <w:proofErr w:type="spellStart"/>
      <w:r>
        <w:rPr>
          <w:sz w:val="20"/>
          <w:szCs w:val="20"/>
          <w:lang w:val="en-GB"/>
        </w:rPr>
        <w:t>Wernigerode</w:t>
      </w:r>
      <w:proofErr w:type="spellEnd"/>
      <w:r>
        <w:rPr>
          <w:sz w:val="20"/>
          <w:szCs w:val="20"/>
          <w:lang w:val="en-GB"/>
        </w:rPr>
        <w:t>: Harder.</w:t>
      </w:r>
    </w:p>
    <w:p w:rsidR="00000000" w:rsidRDefault="000C1523">
      <w:pPr>
        <w:ind w:left="709" w:hanging="709"/>
        <w:rPr>
          <w:sz w:val="20"/>
          <w:szCs w:val="20"/>
          <w:lang w:val="en-GB"/>
        </w:rPr>
      </w:pPr>
      <w:r>
        <w:rPr>
          <w:sz w:val="20"/>
          <w:szCs w:val="20"/>
          <w:lang w:val="en-GB"/>
        </w:rPr>
        <w:t xml:space="preserve">Reed, Bruce D. (1996): </w:t>
      </w:r>
      <w:r>
        <w:rPr>
          <w:i/>
          <w:sz w:val="20"/>
          <w:szCs w:val="20"/>
          <w:lang w:val="en-GB"/>
        </w:rPr>
        <w:t>The Psycho-Dynamics of Life and Worship</w:t>
      </w:r>
      <w:r>
        <w:rPr>
          <w:sz w:val="20"/>
          <w:szCs w:val="20"/>
          <w:lang w:val="en-GB"/>
        </w:rPr>
        <w:t>. London: The Grubb Institute</w:t>
      </w:r>
      <w:proofErr w:type="gramStart"/>
      <w:r>
        <w:rPr>
          <w:sz w:val="20"/>
          <w:szCs w:val="20"/>
          <w:lang w:val="en-GB"/>
        </w:rPr>
        <w:t>:.</w:t>
      </w:r>
      <w:proofErr w:type="gramEnd"/>
      <w:r>
        <w:rPr>
          <w:sz w:val="20"/>
          <w:szCs w:val="20"/>
          <w:lang w:val="en-GB"/>
        </w:rPr>
        <w:t xml:space="preserve"> </w:t>
      </w:r>
      <w:proofErr w:type="gramStart"/>
      <w:r>
        <w:rPr>
          <w:sz w:val="20"/>
          <w:szCs w:val="20"/>
          <w:lang w:val="en-GB"/>
        </w:rPr>
        <w:t>www.grubb.org.u</w:t>
      </w:r>
      <w:r>
        <w:rPr>
          <w:sz w:val="20"/>
          <w:szCs w:val="20"/>
          <w:lang w:val="en-GB"/>
        </w:rPr>
        <w:t>k/.../028_Psychodynamics%20of%20Life%20&amp; %20Worship%20Revised.PDF.</w:t>
      </w:r>
      <w:proofErr w:type="gramEnd"/>
      <w:r>
        <w:rPr>
          <w:sz w:val="20"/>
          <w:szCs w:val="20"/>
          <w:lang w:val="en-GB"/>
        </w:rPr>
        <w:t xml:space="preserve"> </w:t>
      </w:r>
      <w:proofErr w:type="gramStart"/>
      <w:r>
        <w:rPr>
          <w:sz w:val="20"/>
          <w:szCs w:val="20"/>
          <w:lang w:val="en-GB"/>
        </w:rPr>
        <w:t>accessed</w:t>
      </w:r>
      <w:proofErr w:type="gramEnd"/>
      <w:r>
        <w:rPr>
          <w:sz w:val="20"/>
          <w:szCs w:val="20"/>
          <w:lang w:val="en-GB"/>
        </w:rPr>
        <w:t>: August 2009</w:t>
      </w:r>
    </w:p>
    <w:p w:rsidR="00000000" w:rsidRDefault="000C1523">
      <w:pPr>
        <w:ind w:left="709" w:hanging="709"/>
        <w:rPr>
          <w:sz w:val="20"/>
          <w:szCs w:val="20"/>
          <w:lang w:val="en-GB"/>
        </w:rPr>
      </w:pPr>
      <w:r>
        <w:rPr>
          <w:sz w:val="20"/>
          <w:szCs w:val="20"/>
          <w:lang w:val="en-GB"/>
        </w:rPr>
        <w:t xml:space="preserve">Stacey, Ralph (2001). </w:t>
      </w:r>
      <w:proofErr w:type="gramStart"/>
      <w:r>
        <w:rPr>
          <w:i/>
          <w:sz w:val="20"/>
          <w:szCs w:val="20"/>
          <w:lang w:val="en-GB"/>
        </w:rPr>
        <w:t>Complexity at the “Edge” of the Basic-</w:t>
      </w:r>
      <w:proofErr w:type="spellStart"/>
      <w:r>
        <w:rPr>
          <w:i/>
          <w:sz w:val="20"/>
          <w:szCs w:val="20"/>
          <w:lang w:val="en-GB"/>
        </w:rPr>
        <w:t>Assumtion</w:t>
      </w:r>
      <w:proofErr w:type="spellEnd"/>
      <w:r>
        <w:rPr>
          <w:i/>
          <w:sz w:val="20"/>
          <w:szCs w:val="20"/>
          <w:lang w:val="en-GB"/>
        </w:rPr>
        <w:t xml:space="preserve"> Group.</w:t>
      </w:r>
      <w:proofErr w:type="gramEnd"/>
      <w:r>
        <w:rPr>
          <w:sz w:val="20"/>
          <w:szCs w:val="20"/>
          <w:lang w:val="en-GB"/>
        </w:rPr>
        <w:t xml:space="preserve"> In: Gould </w:t>
      </w:r>
      <w:proofErr w:type="gramStart"/>
      <w:r>
        <w:rPr>
          <w:sz w:val="20"/>
          <w:szCs w:val="20"/>
          <w:lang w:val="en-GB"/>
        </w:rPr>
        <w:t>et</w:t>
      </w:r>
      <w:proofErr w:type="gramEnd"/>
      <w:r>
        <w:rPr>
          <w:sz w:val="20"/>
          <w:szCs w:val="20"/>
          <w:lang w:val="en-GB"/>
        </w:rPr>
        <w:t xml:space="preserve">. </w:t>
      </w:r>
      <w:proofErr w:type="gramStart"/>
      <w:r>
        <w:rPr>
          <w:sz w:val="20"/>
          <w:szCs w:val="20"/>
          <w:lang w:val="en-GB"/>
        </w:rPr>
        <w:t>al</w:t>
      </w:r>
      <w:proofErr w:type="gramEnd"/>
      <w:r>
        <w:rPr>
          <w:sz w:val="20"/>
          <w:szCs w:val="20"/>
          <w:lang w:val="en-GB"/>
        </w:rPr>
        <w:t xml:space="preserve"> (2001)</w:t>
      </w:r>
    </w:p>
    <w:p w:rsidR="00000000" w:rsidRDefault="000C1523">
      <w:pPr>
        <w:ind w:left="709" w:hanging="709"/>
        <w:rPr>
          <w:sz w:val="20"/>
          <w:szCs w:val="20"/>
          <w:lang w:val="en-GB"/>
        </w:rPr>
      </w:pPr>
      <w:proofErr w:type="spellStart"/>
      <w:proofErr w:type="gramStart"/>
      <w:r>
        <w:rPr>
          <w:sz w:val="20"/>
          <w:szCs w:val="20"/>
          <w:lang w:val="en-GB"/>
        </w:rPr>
        <w:t>Stapley</w:t>
      </w:r>
      <w:proofErr w:type="spellEnd"/>
      <w:r>
        <w:rPr>
          <w:sz w:val="20"/>
          <w:szCs w:val="20"/>
          <w:lang w:val="en-GB"/>
        </w:rPr>
        <w:t>, Lionel F (2001).</w:t>
      </w:r>
      <w:proofErr w:type="gramEnd"/>
      <w:r>
        <w:rPr>
          <w:sz w:val="20"/>
          <w:szCs w:val="20"/>
          <w:lang w:val="en-GB"/>
        </w:rPr>
        <w:t xml:space="preserve"> </w:t>
      </w:r>
      <w:r>
        <w:rPr>
          <w:i/>
          <w:sz w:val="20"/>
          <w:szCs w:val="20"/>
          <w:lang w:val="en-GB"/>
        </w:rPr>
        <w:t>A Large-System Intervention: The Influen</w:t>
      </w:r>
      <w:r>
        <w:rPr>
          <w:i/>
          <w:sz w:val="20"/>
          <w:szCs w:val="20"/>
          <w:lang w:val="en-GB"/>
        </w:rPr>
        <w:t xml:space="preserve">ce of </w:t>
      </w:r>
      <w:proofErr w:type="spellStart"/>
      <w:r>
        <w:rPr>
          <w:i/>
          <w:sz w:val="20"/>
          <w:szCs w:val="20"/>
          <w:lang w:val="en-GB"/>
        </w:rPr>
        <w:t>Organsational</w:t>
      </w:r>
      <w:proofErr w:type="spellEnd"/>
      <w:r>
        <w:rPr>
          <w:i/>
          <w:sz w:val="20"/>
          <w:szCs w:val="20"/>
          <w:lang w:val="en-GB"/>
        </w:rPr>
        <w:t xml:space="preserve"> Change.</w:t>
      </w:r>
      <w:r>
        <w:rPr>
          <w:sz w:val="20"/>
          <w:szCs w:val="20"/>
          <w:lang w:val="en-GB"/>
        </w:rPr>
        <w:t xml:space="preserve"> In: Gould </w:t>
      </w:r>
      <w:proofErr w:type="gramStart"/>
      <w:r>
        <w:rPr>
          <w:sz w:val="20"/>
          <w:szCs w:val="20"/>
          <w:lang w:val="en-GB"/>
        </w:rPr>
        <w:t>et</w:t>
      </w:r>
      <w:proofErr w:type="gramEnd"/>
      <w:r>
        <w:rPr>
          <w:sz w:val="20"/>
          <w:szCs w:val="20"/>
          <w:lang w:val="en-GB"/>
        </w:rPr>
        <w:t xml:space="preserve">. </w:t>
      </w:r>
      <w:proofErr w:type="gramStart"/>
      <w:r>
        <w:rPr>
          <w:sz w:val="20"/>
          <w:szCs w:val="20"/>
          <w:lang w:val="en-GB"/>
        </w:rPr>
        <w:t>al</w:t>
      </w:r>
      <w:proofErr w:type="gramEnd"/>
      <w:r>
        <w:rPr>
          <w:sz w:val="20"/>
          <w:szCs w:val="20"/>
          <w:lang w:val="en-GB"/>
        </w:rPr>
        <w:t xml:space="preserve"> (2001)</w:t>
      </w:r>
    </w:p>
    <w:p w:rsidR="00000000" w:rsidRDefault="000C1523">
      <w:pPr>
        <w:ind w:left="709" w:hanging="709"/>
        <w:rPr>
          <w:sz w:val="20"/>
          <w:szCs w:val="20"/>
          <w:lang w:val="en-GB"/>
        </w:rPr>
      </w:pPr>
      <w:r>
        <w:rPr>
          <w:sz w:val="20"/>
          <w:szCs w:val="20"/>
          <w:lang w:val="en-GB"/>
        </w:rPr>
        <w:t xml:space="preserve">Symington Joan and Neville: (1996): </w:t>
      </w:r>
      <w:r>
        <w:rPr>
          <w:i/>
          <w:sz w:val="20"/>
          <w:szCs w:val="20"/>
          <w:lang w:val="en-GB"/>
        </w:rPr>
        <w:t xml:space="preserve">The clinical thinking of Wilfred </w:t>
      </w:r>
      <w:proofErr w:type="spellStart"/>
      <w:r>
        <w:rPr>
          <w:i/>
          <w:sz w:val="20"/>
          <w:szCs w:val="20"/>
          <w:lang w:val="en-GB"/>
        </w:rPr>
        <w:t>Bion</w:t>
      </w:r>
      <w:proofErr w:type="spellEnd"/>
      <w:r>
        <w:rPr>
          <w:sz w:val="20"/>
          <w:szCs w:val="20"/>
          <w:lang w:val="en-GB"/>
        </w:rPr>
        <w:t xml:space="preserve">. New York and London: </w:t>
      </w:r>
      <w:proofErr w:type="spellStart"/>
      <w:r>
        <w:rPr>
          <w:sz w:val="20"/>
          <w:szCs w:val="20"/>
          <w:lang w:val="en-GB"/>
        </w:rPr>
        <w:t>Routledge</w:t>
      </w:r>
      <w:proofErr w:type="spellEnd"/>
      <w:r>
        <w:rPr>
          <w:sz w:val="20"/>
          <w:szCs w:val="20"/>
          <w:lang w:val="en-GB"/>
        </w:rPr>
        <w:t>.</w:t>
      </w:r>
    </w:p>
    <w:p w:rsidR="00000000" w:rsidRDefault="000C1523">
      <w:pPr>
        <w:ind w:left="709" w:hanging="709"/>
        <w:rPr>
          <w:sz w:val="20"/>
          <w:szCs w:val="20"/>
          <w:lang w:val="en-GB"/>
        </w:rPr>
      </w:pPr>
      <w:proofErr w:type="spellStart"/>
      <w:r>
        <w:rPr>
          <w:sz w:val="20"/>
          <w:szCs w:val="20"/>
          <w:lang w:val="en-GB"/>
        </w:rPr>
        <w:t>Tubert-Oklander</w:t>
      </w:r>
      <w:proofErr w:type="spellEnd"/>
      <w:r>
        <w:rPr>
          <w:sz w:val="20"/>
          <w:szCs w:val="20"/>
          <w:lang w:val="en-GB"/>
        </w:rPr>
        <w:t xml:space="preserve">, Juan and Reyna </w:t>
      </w:r>
      <w:proofErr w:type="spellStart"/>
      <w:r>
        <w:rPr>
          <w:sz w:val="20"/>
          <w:szCs w:val="20"/>
          <w:lang w:val="en-GB"/>
        </w:rPr>
        <w:t>Hernández</w:t>
      </w:r>
      <w:proofErr w:type="spellEnd"/>
      <w:r>
        <w:rPr>
          <w:sz w:val="20"/>
          <w:szCs w:val="20"/>
          <w:lang w:val="en-GB"/>
        </w:rPr>
        <w:t xml:space="preserve">-de </w:t>
      </w:r>
      <w:proofErr w:type="spellStart"/>
      <w:r>
        <w:rPr>
          <w:sz w:val="20"/>
          <w:szCs w:val="20"/>
          <w:lang w:val="en-GB"/>
        </w:rPr>
        <w:t>Tubert</w:t>
      </w:r>
      <w:proofErr w:type="spellEnd"/>
      <w:r>
        <w:rPr>
          <w:sz w:val="20"/>
          <w:szCs w:val="20"/>
          <w:lang w:val="en-GB"/>
        </w:rPr>
        <w:t xml:space="preserve"> (2004): </w:t>
      </w:r>
      <w:r>
        <w:rPr>
          <w:i/>
          <w:sz w:val="20"/>
          <w:szCs w:val="20"/>
          <w:lang w:val="en-GB"/>
        </w:rPr>
        <w:t>Operative groups.</w:t>
      </w:r>
      <w:r>
        <w:rPr>
          <w:sz w:val="20"/>
          <w:szCs w:val="20"/>
          <w:lang w:val="en-GB"/>
        </w:rPr>
        <w:t xml:space="preserve"> London and New York</w:t>
      </w:r>
      <w:r>
        <w:rPr>
          <w:sz w:val="20"/>
          <w:szCs w:val="20"/>
          <w:lang w:val="en-GB"/>
        </w:rPr>
        <w:t>: Jessica Kingsley.</w:t>
      </w:r>
    </w:p>
    <w:p w:rsidR="000C1523" w:rsidRDefault="000C1523">
      <w:pPr>
        <w:ind w:left="709" w:hanging="709"/>
      </w:pPr>
      <w:proofErr w:type="spellStart"/>
      <w:r>
        <w:rPr>
          <w:sz w:val="20"/>
          <w:szCs w:val="20"/>
          <w:lang w:val="en-GB"/>
        </w:rPr>
        <w:t>Winnicott</w:t>
      </w:r>
      <w:proofErr w:type="spellEnd"/>
      <w:r>
        <w:rPr>
          <w:sz w:val="20"/>
          <w:szCs w:val="20"/>
          <w:lang w:val="en-GB"/>
        </w:rPr>
        <w:t xml:space="preserve">, D.W. (1988). </w:t>
      </w:r>
      <w:proofErr w:type="gramStart"/>
      <w:r>
        <w:rPr>
          <w:i/>
          <w:sz w:val="20"/>
          <w:szCs w:val="20"/>
          <w:lang w:val="en-GB"/>
        </w:rPr>
        <w:t>Human Nature.</w:t>
      </w:r>
      <w:proofErr w:type="gramEnd"/>
      <w:r>
        <w:rPr>
          <w:sz w:val="20"/>
          <w:szCs w:val="20"/>
          <w:lang w:val="en-GB"/>
        </w:rPr>
        <w:t xml:space="preserve"> London: Free Association Books.</w:t>
      </w:r>
    </w:p>
    <w:sectPr w:rsidR="000C1523">
      <w:footerReference w:type="default" r:id="rId8"/>
      <w:pgSz w:w="12240" w:h="15840"/>
      <w:pgMar w:top="1009" w:right="1412" w:bottom="1068" w:left="1412" w:header="720"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523" w:rsidRDefault="000C1523">
      <w:r>
        <w:separator/>
      </w:r>
    </w:p>
  </w:endnote>
  <w:endnote w:type="continuationSeparator" w:id="0">
    <w:p w:rsidR="000C1523" w:rsidRDefault="000C1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GillSans">
    <w:altName w:val="Courier New"/>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1523">
    <w:pPr>
      <w:pStyle w:val="Fuzeile"/>
    </w:pPr>
    <w:r>
      <w:rPr>
        <w:sz w:val="18"/>
        <w:szCs w:val="18"/>
        <w:lang w:val="de-CH"/>
      </w:rPr>
      <w:fldChar w:fldCharType="begin"/>
    </w:r>
    <w:r>
      <w:rPr>
        <w:sz w:val="18"/>
        <w:szCs w:val="18"/>
        <w:lang w:val="de-CH"/>
      </w:rPr>
      <w:instrText xml:space="preserve"> FILENAME </w:instrText>
    </w:r>
    <w:r>
      <w:rPr>
        <w:sz w:val="18"/>
        <w:szCs w:val="18"/>
        <w:lang w:val="de-CH"/>
      </w:rPr>
      <w:fldChar w:fldCharType="separate"/>
    </w:r>
    <w:r>
      <w:rPr>
        <w:sz w:val="18"/>
        <w:szCs w:val="18"/>
        <w:lang w:val="de-CH"/>
      </w:rPr>
      <w:t>110318 spezialisierte Arbeitsgruppe Kirche.doc</w:t>
    </w:r>
    <w:r>
      <w:rPr>
        <w:sz w:val="18"/>
        <w:szCs w:val="18"/>
        <w:lang w:val="de-CH"/>
      </w:rPr>
      <w:fldChar w:fldCharType="end"/>
    </w:r>
    <w:r>
      <w:rPr>
        <w:sz w:val="18"/>
        <w:szCs w:val="18"/>
        <w:lang w:val="de-CH"/>
      </w:rPr>
      <w:tab/>
    </w:r>
    <w:r>
      <w:rPr>
        <w:sz w:val="18"/>
        <w:szCs w:val="18"/>
        <w:lang w:val="de-CH"/>
      </w:rPr>
      <w:fldChar w:fldCharType="begin"/>
    </w:r>
    <w:r>
      <w:rPr>
        <w:sz w:val="18"/>
        <w:szCs w:val="18"/>
        <w:lang w:val="de-CH"/>
      </w:rPr>
      <w:instrText xml:space="preserve"> PAGE </w:instrText>
    </w:r>
    <w:r>
      <w:rPr>
        <w:sz w:val="18"/>
        <w:szCs w:val="18"/>
        <w:lang w:val="de-CH"/>
      </w:rPr>
      <w:fldChar w:fldCharType="separate"/>
    </w:r>
    <w:r w:rsidR="00A02CEA">
      <w:rPr>
        <w:noProof/>
        <w:sz w:val="18"/>
        <w:szCs w:val="18"/>
        <w:lang w:val="de-CH"/>
      </w:rPr>
      <w:t>2</w:t>
    </w:r>
    <w:r>
      <w:rPr>
        <w:sz w:val="18"/>
        <w:szCs w:val="18"/>
        <w:lang w:val="de-CH"/>
      </w:rPr>
      <w:fldChar w:fldCharType="end"/>
    </w:r>
    <w:r>
      <w:rPr>
        <w:sz w:val="18"/>
        <w:szCs w:val="18"/>
        <w:lang w:val="de-CH"/>
      </w:rPr>
      <w:t>/</w:t>
    </w:r>
    <w:r>
      <w:rPr>
        <w:sz w:val="18"/>
        <w:szCs w:val="18"/>
        <w:lang w:val="de-CH"/>
      </w:rPr>
      <w:fldChar w:fldCharType="begin"/>
    </w:r>
    <w:r>
      <w:rPr>
        <w:sz w:val="18"/>
        <w:szCs w:val="18"/>
        <w:lang w:val="de-CH"/>
      </w:rPr>
      <w:instrText xml:space="preserve"> NUMPAGES \*Arabic </w:instrText>
    </w:r>
    <w:r>
      <w:rPr>
        <w:sz w:val="18"/>
        <w:szCs w:val="18"/>
        <w:lang w:val="de-CH"/>
      </w:rPr>
      <w:fldChar w:fldCharType="separate"/>
    </w:r>
    <w:r w:rsidR="00A02CEA">
      <w:rPr>
        <w:noProof/>
        <w:sz w:val="18"/>
        <w:szCs w:val="18"/>
        <w:lang w:val="de-CH"/>
      </w:rPr>
      <w:t>6</w:t>
    </w:r>
    <w:r>
      <w:rPr>
        <w:sz w:val="18"/>
        <w:szCs w:val="18"/>
        <w:lang w:val="de-CH"/>
      </w:rPr>
      <w:fldChar w:fldCharType="end"/>
    </w:r>
    <w:r>
      <w:rPr>
        <w:sz w:val="18"/>
        <w:szCs w:val="18"/>
        <w:lang w:val="de-CH"/>
      </w:rPr>
      <w:tab/>
    </w:r>
    <w:r>
      <w:rPr>
        <w:sz w:val="18"/>
        <w:szCs w:val="18"/>
        <w:lang w:val="de-CH"/>
      </w:rPr>
      <w:fldChar w:fldCharType="begin"/>
    </w:r>
    <w:r>
      <w:rPr>
        <w:sz w:val="18"/>
        <w:szCs w:val="18"/>
        <w:lang w:val="de-CH"/>
      </w:rPr>
      <w:instrText xml:space="preserve"> DATE \@"D'/ 'MMMM\ YYYY" </w:instrText>
    </w:r>
    <w:r>
      <w:rPr>
        <w:sz w:val="18"/>
        <w:szCs w:val="18"/>
        <w:lang w:val="de-CH"/>
      </w:rPr>
      <w:fldChar w:fldCharType="separate"/>
    </w:r>
    <w:r w:rsidR="00A02CEA">
      <w:rPr>
        <w:noProof/>
        <w:sz w:val="18"/>
        <w:szCs w:val="18"/>
        <w:lang w:val="de-CH"/>
      </w:rPr>
      <w:t>21/ August 2013</w:t>
    </w:r>
    <w:r>
      <w:rPr>
        <w:sz w:val="18"/>
        <w:szCs w:val="18"/>
        <w:lang w:val="de-C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523" w:rsidRDefault="000C1523">
      <w:r>
        <w:separator/>
      </w:r>
    </w:p>
  </w:footnote>
  <w:footnote w:type="continuationSeparator" w:id="0">
    <w:p w:rsidR="000C1523" w:rsidRDefault="000C1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02CEA"/>
    <w:rsid w:val="000C1523"/>
    <w:rsid w:val="00A02CE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en-US" w:eastAsia="ar-SA"/>
    </w:rPr>
  </w:style>
  <w:style w:type="paragraph" w:styleId="berschrift3">
    <w:name w:val="heading 3"/>
    <w:basedOn w:val="Standard"/>
    <w:next w:val="Standard"/>
    <w:qFormat/>
    <w:pPr>
      <w:keepNext/>
      <w:numPr>
        <w:ilvl w:val="2"/>
        <w:numId w:val="1"/>
      </w:numPr>
      <w:spacing w:before="240" w:after="60"/>
      <w:outlineLvl w:val="2"/>
    </w:pPr>
    <w:rPr>
      <w:rFonts w:eastAsia="Times"/>
      <w:b/>
      <w:szCs w:val="20"/>
      <w:lang w:val="en-GB"/>
    </w:rPr>
  </w:style>
  <w:style w:type="paragraph" w:styleId="berschrift4">
    <w:name w:val="heading 4"/>
    <w:basedOn w:val="Standard"/>
    <w:next w:val="Standard"/>
    <w:qFormat/>
    <w:pPr>
      <w:keepNext/>
      <w:numPr>
        <w:ilvl w:val="3"/>
        <w:numId w:val="1"/>
      </w:numPr>
      <w:spacing w:line="360" w:lineRule="auto"/>
      <w:outlineLvl w:val="3"/>
    </w:pPr>
    <w:rPr>
      <w:rFonts w:ascii="GillSans" w:eastAsia="Times" w:hAnsi="GillSans"/>
      <w:sz w:val="36"/>
      <w:szCs w:val="20"/>
      <w:lang w:val="en-GB"/>
    </w:rPr>
  </w:style>
  <w:style w:type="paragraph" w:styleId="berschrift5">
    <w:name w:val="heading 5"/>
    <w:basedOn w:val="Standard"/>
    <w:next w:val="Standard"/>
    <w:qFormat/>
    <w:pPr>
      <w:keepNext/>
      <w:numPr>
        <w:ilvl w:val="4"/>
        <w:numId w:val="1"/>
      </w:numPr>
      <w:spacing w:line="360" w:lineRule="auto"/>
      <w:outlineLvl w:val="4"/>
    </w:pPr>
    <w:rPr>
      <w:rFonts w:eastAsia="Times"/>
      <w:sz w:val="28"/>
      <w:szCs w:val="20"/>
      <w:lang w:val="en-GB"/>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Absatz-Standardschriftart1">
    <w:name w:val="WW-Absatz-Standardschriftart1"/>
  </w:style>
  <w:style w:type="character" w:styleId="Hyperlink">
    <w:name w:val="Hyperlink"/>
    <w:basedOn w:val="WW-Absatz-Standardschriftart1"/>
    <w:rPr>
      <w:color w:val="0000FF"/>
      <w:u w:val="single"/>
    </w:rPr>
  </w:style>
  <w:style w:type="character" w:customStyle="1" w:styleId="apple-style-span">
    <w:name w:val="apple-style-span"/>
    <w:basedOn w:val="WW-Absatz-Standardschriftart1"/>
  </w:style>
  <w:style w:type="paragraph" w:customStyle="1" w:styleId="berschrift">
    <w:name w:val="Überschrift"/>
    <w:basedOn w:val="Standard"/>
    <w:next w:val="Textkrper"/>
    <w:pPr>
      <w:keepNext/>
      <w:spacing w:before="240" w:after="120"/>
    </w:pPr>
    <w:rPr>
      <w:rFonts w:ascii="Arial" w:eastAsia="DejaVu Sans" w:hAnsi="Arial"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customStyle="1" w:styleId="Beschriftung1">
    <w:name w:val="Beschriftung1"/>
    <w:basedOn w:val="Standard"/>
    <w:pPr>
      <w:suppressLineNumbers/>
      <w:spacing w:before="120" w:after="120"/>
    </w:pPr>
    <w:rPr>
      <w:rFonts w:ascii="Verdana" w:hAnsi="Verdana"/>
      <w:i/>
      <w:iCs/>
    </w:rPr>
  </w:style>
  <w:style w:type="paragraph" w:customStyle="1" w:styleId="Verzeichnis">
    <w:name w:val="Verzeichnis"/>
    <w:basedOn w:val="Standard"/>
    <w:pPr>
      <w:suppressLineNumbers/>
    </w:pPr>
    <w:rPr>
      <w:rFonts w:ascii="Verdana" w:hAnsi="Verdana"/>
    </w:rPr>
  </w:style>
  <w:style w:type="paragraph" w:styleId="Textkrper-Zeileneinzug">
    <w:name w:val="Body Text Indent"/>
    <w:basedOn w:val="Standard"/>
    <w:pPr>
      <w:spacing w:line="360" w:lineRule="auto"/>
      <w:ind w:left="2880"/>
    </w:pPr>
    <w:rPr>
      <w:rFonts w:eastAsia="Times"/>
      <w:szCs w:val="20"/>
      <w:lang w:val="en-GB"/>
    </w:rPr>
  </w:style>
  <w:style w:type="paragraph" w:customStyle="1" w:styleId="Blocktext1">
    <w:name w:val="Blocktext1"/>
    <w:basedOn w:val="Standard"/>
    <w:pPr>
      <w:tabs>
        <w:tab w:val="right" w:pos="2552"/>
      </w:tabs>
      <w:ind w:left="2693" w:right="-99" w:hanging="2835"/>
    </w:pPr>
    <w:rPr>
      <w:rFonts w:eastAsia="Times"/>
      <w:b/>
      <w:sz w:val="36"/>
      <w:szCs w:val="20"/>
      <w:lang w:val="en-GB"/>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Fuzeile">
    <w:name w:val="footer"/>
    <w:basedOn w:val="Standard"/>
    <w:pPr>
      <w:suppressLineNumbers/>
      <w:tabs>
        <w:tab w:val="center" w:pos="4708"/>
        <w:tab w:val="right" w:pos="9416"/>
      </w:tabs>
    </w:pPr>
  </w:style>
  <w:style w:type="paragraph" w:styleId="Kopfzeile">
    <w:name w:val="header"/>
    <w:basedOn w:val="Standard"/>
    <w:pPr>
      <w:suppressLineNumbers/>
      <w:tabs>
        <w:tab w:val="center" w:pos="4819"/>
        <w:tab w:val="right" w:pos="9638"/>
      </w:tabs>
    </w:pPr>
  </w:style>
  <w:style w:type="paragraph" w:styleId="Sprechblasentext">
    <w:name w:val="Balloon Text"/>
    <w:basedOn w:val="Standard"/>
    <w:link w:val="SprechblasentextZchn"/>
    <w:uiPriority w:val="99"/>
    <w:semiHidden/>
    <w:unhideWhenUsed/>
    <w:rsid w:val="00A02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CEA"/>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mazon.de/gp/product/3491725062?ie=UTF8&amp;tag=okumenischesheil&amp;link_code=em1&amp;camp=2510&amp;creative=11150&amp;creativeASIN=3491725062&amp;adid=b309756a-fabb-4469-9125-fee7a9cec4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1976</Words>
  <Characters>12451</Characters>
  <Application>Microsoft Office Word</Application>
  <DocSecurity>0</DocSecurity>
  <Lines>103</Lines>
  <Paragraphs>28</Paragraphs>
  <ScaleCrop>false</ScaleCrop>
  <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 2008</dc:title>
  <dc:creator>DR Stapley</dc:creator>
  <cp:lastModifiedBy>Peter Keimer</cp:lastModifiedBy>
  <cp:revision>2</cp:revision>
  <cp:lastPrinted>2011-03-11T13:00:00Z</cp:lastPrinted>
  <dcterms:created xsi:type="dcterms:W3CDTF">2013-08-21T07:31:00Z</dcterms:created>
  <dcterms:modified xsi:type="dcterms:W3CDTF">2013-08-21T07:31:00Z</dcterms:modified>
</cp:coreProperties>
</file>